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color w:val="000000"/>
        </w:rPr>
      </w:pPr>
      <w:r>
        <w:rPr>
          <w:color w:val="000000"/>
        </w:rPr>
        <w:drawing>
          <wp:inline distT="0" distB="0" distL="114300" distR="114300">
            <wp:extent cx="5662295" cy="8573135"/>
            <wp:effectExtent l="0" t="0" r="698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662295" cy="8573135"/>
                    </a:xfrm>
                    <a:prstGeom prst="rect">
                      <a:avLst/>
                    </a:prstGeom>
                    <a:noFill/>
                    <a:ln>
                      <a:noFill/>
                    </a:ln>
                  </pic:spPr>
                </pic:pic>
              </a:graphicData>
            </a:graphic>
          </wp:inline>
        </w:drawing>
      </w:r>
      <w:r>
        <w:rPr>
          <w:color w:val="000000"/>
        </w:rPr>
        <w:drawing>
          <wp:inline distT="0" distB="0" distL="114300" distR="114300">
            <wp:extent cx="5700395" cy="8697595"/>
            <wp:effectExtent l="0" t="0" r="1460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700395" cy="8697595"/>
                    </a:xfrm>
                    <a:prstGeom prst="rect">
                      <a:avLst/>
                    </a:prstGeom>
                    <a:noFill/>
                    <a:ln>
                      <a:noFill/>
                    </a:ln>
                  </pic:spPr>
                </pic:pic>
              </a:graphicData>
            </a:graphic>
          </wp:inline>
        </w:drawing>
      </w:r>
      <w:r>
        <w:rPr>
          <w:b/>
          <w:bCs/>
          <w:color w:val="000000"/>
        </w:rPr>
        <w:t>修订摘要</w:t>
      </w:r>
    </w:p>
    <w:p>
      <w:pPr>
        <w:ind w:firstLine="0" w:firstLineChars="0"/>
        <w:jc w:val="left"/>
        <w:rPr>
          <w:b/>
          <w:color w:val="000000"/>
        </w:rPr>
      </w:pPr>
      <w:r>
        <w:rPr>
          <w:b/>
          <w:color w:val="000000"/>
        </w:rPr>
        <w:t>一、上期</w:t>
      </w:r>
      <w:r>
        <w:rPr>
          <w:b/>
          <w:bCs/>
          <w:color w:val="000000"/>
        </w:rPr>
        <w:t xml:space="preserve">突发环境事件应急预案编制以来变动情况 </w:t>
      </w:r>
    </w:p>
    <w:p>
      <w:pPr>
        <w:ind w:firstLine="560"/>
        <w:rPr>
          <w:color w:val="000000"/>
        </w:rPr>
      </w:pPr>
      <w:r>
        <w:rPr>
          <w:color w:val="000000"/>
        </w:rPr>
        <w:t>天津海光药业股份有限公司2019年11月编写了上一期突发环境事件应急预案，并于2019年12月在天津经济技术开发区环境监察支队进行了备案，备案号：120116-KF-2019-213-L。</w:t>
      </w:r>
    </w:p>
    <w:p>
      <w:pPr>
        <w:ind w:firstLine="562"/>
        <w:rPr>
          <w:b/>
          <w:color w:val="000000"/>
        </w:rPr>
      </w:pPr>
      <w:r>
        <w:rPr>
          <w:b/>
          <w:color w:val="000000"/>
        </w:rPr>
        <w:t>1.企业主要改扩建情况</w:t>
      </w:r>
    </w:p>
    <w:p>
      <w:pPr>
        <w:ind w:firstLine="560"/>
        <w:rPr>
          <w:color w:val="000000"/>
        </w:rPr>
      </w:pPr>
      <w:r>
        <w:rPr>
          <w:color w:val="000000"/>
        </w:rPr>
        <w:t>2020年12月天津海光药业股份有限公司进行了“12kt/a药用碳酸氢钠项目”建设，主要新建一套药用碳酸氢钠装置，主要设置在新建碳酸氢钠车间内及室外装置区，该装置主要由烧碱罐区、二氧化碳罐区、碳化区、结晶区、离心洗涤区、干燥包装区、母液蒸发系统等组成；同时新建一座危险废物暂存间。该项目涉及新增原辅材料食品添加剂离子膜烧碱、食品添加剂二氧化碳、纯水以及质检区的盐酸、硝酸、氯化钠、硫酸钾、氢氧化钠。</w:t>
      </w:r>
    </w:p>
    <w:p>
      <w:pPr>
        <w:ind w:firstLine="562"/>
        <w:rPr>
          <w:b/>
          <w:color w:val="000000"/>
        </w:rPr>
      </w:pPr>
      <w:r>
        <w:rPr>
          <w:b/>
          <w:color w:val="000000"/>
        </w:rPr>
        <w:t>2.企业周边环保目标变化情况</w:t>
      </w:r>
    </w:p>
    <w:p>
      <w:pPr>
        <w:ind w:firstLine="560"/>
        <w:rPr>
          <w:color w:val="000000"/>
        </w:rPr>
      </w:pPr>
      <w:r>
        <w:rPr>
          <w:color w:val="000000"/>
        </w:rPr>
        <w:t>经调查，本企业周边的环境保护目标未发生变化。</w:t>
      </w:r>
    </w:p>
    <w:p>
      <w:pPr>
        <w:ind w:firstLine="562"/>
        <w:rPr>
          <w:b/>
          <w:color w:val="000000"/>
        </w:rPr>
      </w:pPr>
      <w:r>
        <w:rPr>
          <w:b/>
          <w:color w:val="000000"/>
        </w:rPr>
        <w:t>3.相关法律法规变动和修订情况</w:t>
      </w:r>
    </w:p>
    <w:p>
      <w:pPr>
        <w:ind w:firstLine="560"/>
        <w:rPr>
          <w:color w:val="000000"/>
        </w:rPr>
      </w:pPr>
      <w:r>
        <w:rPr>
          <w:color w:val="000000"/>
        </w:rPr>
        <w:t>（1）《国家危险废物名录（2021年版）》（部令[2020]第15号）。</w:t>
      </w:r>
    </w:p>
    <w:p>
      <w:pPr>
        <w:ind w:firstLine="0" w:firstLineChars="0"/>
        <w:jc w:val="left"/>
        <w:rPr>
          <w:b/>
          <w:color w:val="000000"/>
        </w:rPr>
      </w:pPr>
      <w:r>
        <w:rPr>
          <w:b/>
          <w:color w:val="000000"/>
        </w:rPr>
        <w:t xml:space="preserve">二、本次突发环境事件应急预案主要修订内容 </w:t>
      </w:r>
      <w:r>
        <w:rPr>
          <w:b/>
          <w:bCs/>
          <w:color w:val="000000"/>
        </w:rPr>
        <w:t xml:space="preserve"> </w:t>
      </w:r>
    </w:p>
    <w:p>
      <w:pPr>
        <w:pStyle w:val="2"/>
        <w:jc w:val="center"/>
        <w:rPr>
          <w:rFonts w:ascii="Times New Roman" w:hAnsi="Times New Roman" w:eastAsia="仿宋_GB2312" w:cs="Times New Roman"/>
          <w:sz w:val="36"/>
          <w:szCs w:val="36"/>
        </w:rPr>
      </w:pPr>
    </w:p>
    <w:p>
      <w:pPr>
        <w:pStyle w:val="2"/>
        <w:jc w:val="center"/>
        <w:rPr>
          <w:rFonts w:ascii="Times New Roman" w:hAnsi="Times New Roman" w:eastAsia="仿宋_GB2312" w:cs="Times New Roman"/>
          <w:sz w:val="36"/>
          <w:szCs w:val="36"/>
        </w:rPr>
      </w:pPr>
    </w:p>
    <w:p>
      <w:pPr>
        <w:pStyle w:val="2"/>
        <w:jc w:val="center"/>
        <w:rPr>
          <w:rFonts w:ascii="Times New Roman" w:hAnsi="Times New Roman" w:eastAsia="仿宋_GB2312" w:cs="Times New Roman"/>
          <w:sz w:val="36"/>
          <w:szCs w:val="36"/>
        </w:rPr>
      </w:pPr>
    </w:p>
    <w:p>
      <w:pPr>
        <w:pStyle w:val="2"/>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前期应急预案摘要一览表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0"/>
        <w:gridCol w:w="1260"/>
        <w:gridCol w:w="1575"/>
        <w:gridCol w:w="46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0"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版本</w:t>
            </w:r>
          </w:p>
        </w:tc>
        <w:tc>
          <w:tcPr>
            <w:tcW w:w="1260"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日期</w:t>
            </w:r>
          </w:p>
        </w:tc>
        <w:tc>
          <w:tcPr>
            <w:tcW w:w="1575"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修订人</w:t>
            </w:r>
          </w:p>
        </w:tc>
        <w:tc>
          <w:tcPr>
            <w:tcW w:w="4617"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预案内容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0"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001版</w:t>
            </w:r>
          </w:p>
        </w:tc>
        <w:tc>
          <w:tcPr>
            <w:tcW w:w="1260"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2016</w:t>
            </w:r>
          </w:p>
        </w:tc>
        <w:tc>
          <w:tcPr>
            <w:tcW w:w="1575"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赵园</w:t>
            </w:r>
          </w:p>
        </w:tc>
        <w:tc>
          <w:tcPr>
            <w:tcW w:w="4617"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新文件首次发布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0" w:type="dxa"/>
            <w:vMerge w:val="restart"/>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002版</w:t>
            </w:r>
          </w:p>
        </w:tc>
        <w:tc>
          <w:tcPr>
            <w:tcW w:w="1260" w:type="dxa"/>
            <w:vMerge w:val="restart"/>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2019.12</w:t>
            </w:r>
          </w:p>
        </w:tc>
        <w:tc>
          <w:tcPr>
            <w:tcW w:w="1575" w:type="dxa"/>
            <w:vMerge w:val="restart"/>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胡汝林</w:t>
            </w:r>
          </w:p>
        </w:tc>
        <w:tc>
          <w:tcPr>
            <w:tcW w:w="4617"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因《企业事业单位突发环境事件应急预案评审工作指南》（试行）以及《企业突发环境事件风险分级方法》更新，本预案按照新要求进行更新；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0" w:type="dxa"/>
            <w:vMerge w:val="continue"/>
            <w:noWrap w:val="0"/>
            <w:vAlign w:val="center"/>
          </w:tcPr>
          <w:p>
            <w:pPr>
              <w:pStyle w:val="2"/>
              <w:spacing w:line="360" w:lineRule="auto"/>
              <w:jc w:val="center"/>
              <w:rPr>
                <w:rFonts w:ascii="Times New Roman" w:hAnsi="Times New Roman" w:eastAsia="仿宋" w:cs="Times New Roman"/>
              </w:rPr>
            </w:pPr>
          </w:p>
        </w:tc>
        <w:tc>
          <w:tcPr>
            <w:tcW w:w="1260" w:type="dxa"/>
            <w:vMerge w:val="continue"/>
            <w:noWrap w:val="0"/>
            <w:vAlign w:val="center"/>
          </w:tcPr>
          <w:p>
            <w:pPr>
              <w:pStyle w:val="2"/>
              <w:spacing w:line="360" w:lineRule="auto"/>
              <w:jc w:val="center"/>
              <w:rPr>
                <w:rFonts w:ascii="Times New Roman" w:hAnsi="Times New Roman" w:eastAsia="仿宋" w:cs="Times New Roman"/>
              </w:rPr>
            </w:pPr>
          </w:p>
        </w:tc>
        <w:tc>
          <w:tcPr>
            <w:tcW w:w="1575" w:type="dxa"/>
            <w:vMerge w:val="continue"/>
            <w:noWrap w:val="0"/>
            <w:vAlign w:val="center"/>
          </w:tcPr>
          <w:p>
            <w:pPr>
              <w:pStyle w:val="2"/>
              <w:spacing w:line="360" w:lineRule="auto"/>
              <w:jc w:val="center"/>
              <w:rPr>
                <w:rFonts w:ascii="Times New Roman" w:hAnsi="Times New Roman" w:eastAsia="仿宋" w:cs="Times New Roman"/>
              </w:rPr>
            </w:pPr>
          </w:p>
        </w:tc>
        <w:tc>
          <w:tcPr>
            <w:tcW w:w="4617"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完善风险评估和应急资源配备、提高公司应急能力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0" w:type="dxa"/>
            <w:vMerge w:val="continue"/>
            <w:noWrap w:val="0"/>
            <w:vAlign w:val="center"/>
          </w:tcPr>
          <w:p>
            <w:pPr>
              <w:pStyle w:val="2"/>
              <w:spacing w:line="360" w:lineRule="auto"/>
              <w:jc w:val="center"/>
              <w:rPr>
                <w:rFonts w:ascii="Times New Roman" w:hAnsi="Times New Roman" w:eastAsia="仿宋" w:cs="Times New Roman"/>
              </w:rPr>
            </w:pPr>
          </w:p>
        </w:tc>
        <w:tc>
          <w:tcPr>
            <w:tcW w:w="1260" w:type="dxa"/>
            <w:vMerge w:val="continue"/>
            <w:noWrap w:val="0"/>
            <w:vAlign w:val="center"/>
          </w:tcPr>
          <w:p>
            <w:pPr>
              <w:pStyle w:val="2"/>
              <w:spacing w:line="360" w:lineRule="auto"/>
              <w:jc w:val="center"/>
              <w:rPr>
                <w:rFonts w:ascii="Times New Roman" w:hAnsi="Times New Roman" w:eastAsia="仿宋" w:cs="Times New Roman"/>
              </w:rPr>
            </w:pPr>
          </w:p>
        </w:tc>
        <w:tc>
          <w:tcPr>
            <w:tcW w:w="1575" w:type="dxa"/>
            <w:vMerge w:val="continue"/>
            <w:noWrap w:val="0"/>
            <w:vAlign w:val="center"/>
          </w:tcPr>
          <w:p>
            <w:pPr>
              <w:pStyle w:val="2"/>
              <w:spacing w:line="360" w:lineRule="auto"/>
              <w:jc w:val="center"/>
              <w:rPr>
                <w:rFonts w:ascii="Times New Roman" w:hAnsi="Times New Roman" w:eastAsia="仿宋" w:cs="Times New Roman"/>
              </w:rPr>
            </w:pPr>
          </w:p>
        </w:tc>
        <w:tc>
          <w:tcPr>
            <w:tcW w:w="4617" w:type="dxa"/>
            <w:noWrap w:val="0"/>
            <w:vAlign w:val="center"/>
          </w:tcPr>
          <w:p>
            <w:pPr>
              <w:pStyle w:val="2"/>
              <w:spacing w:line="360" w:lineRule="auto"/>
              <w:jc w:val="center"/>
              <w:rPr>
                <w:rFonts w:ascii="Times New Roman" w:hAnsi="Times New Roman" w:eastAsia="仿宋" w:cs="Times New Roman"/>
              </w:rPr>
            </w:pPr>
            <w:r>
              <w:rPr>
                <w:rFonts w:ascii="Times New Roman" w:hAnsi="Times New Roman" w:eastAsia="仿宋" w:cs="Times New Roman"/>
              </w:rPr>
              <w:t>更新相关适用法律法规，更新应急救援指挥部成员表及联系方式</w:t>
            </w:r>
          </w:p>
        </w:tc>
      </w:tr>
    </w:tbl>
    <w:p>
      <w:pPr>
        <w:pStyle w:val="2"/>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修订摘要一览表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879"/>
        <w:gridCol w:w="48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序号</w:t>
            </w: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上期预案</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本期修订或变动情况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1</w:t>
            </w: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2019年12月在天津经济技术开发区环境监察支队进行了备案，备案号：120116-KF-2019-213-L。</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2020年12月天津海光药业股份有限公司进行了“12kt/a药用碳酸氢钠项目”建设。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restart"/>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2</w:t>
            </w: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总则</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主要修订了适用范围和预案衔接情况。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noWrap w:val="0"/>
            <w:vAlign w:val="center"/>
          </w:tcPr>
          <w:p>
            <w:pPr>
              <w:pStyle w:val="2"/>
              <w:jc w:val="center"/>
              <w:rPr>
                <w:rFonts w:ascii="Times New Roman" w:hAnsi="Times New Roman" w:eastAsia="仿宋" w:cs="Times New Roman"/>
              </w:rPr>
            </w:pP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公司基本情况</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主要重新梳理了原辅材料用量及存储量，产品产量及工艺稍有调整。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noWrap w:val="0"/>
            <w:vAlign w:val="center"/>
          </w:tcPr>
          <w:p>
            <w:pPr>
              <w:pStyle w:val="2"/>
              <w:jc w:val="center"/>
              <w:rPr>
                <w:rFonts w:ascii="Times New Roman" w:hAnsi="Times New Roman" w:eastAsia="仿宋" w:cs="Times New Roman"/>
              </w:rPr>
            </w:pP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环境风险评估结论</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根据新修订的风险评估，本次风险等级为涉气较大、涉水为一般，并重新进行了突发环境情况分析。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noWrap w:val="0"/>
            <w:vAlign w:val="center"/>
          </w:tcPr>
          <w:p>
            <w:pPr>
              <w:pStyle w:val="2"/>
              <w:jc w:val="center"/>
              <w:rPr>
                <w:rFonts w:ascii="Times New Roman" w:hAnsi="Times New Roman" w:eastAsia="仿宋" w:cs="Times New Roman"/>
              </w:rPr>
            </w:pP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应急组织机构</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重新设定了应急指挥机构，并对各自人员的主要职责进行了划分。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noWrap w:val="0"/>
            <w:vAlign w:val="center"/>
          </w:tcPr>
          <w:p>
            <w:pPr>
              <w:pStyle w:val="2"/>
              <w:jc w:val="center"/>
              <w:rPr>
                <w:rFonts w:ascii="Times New Roman" w:hAnsi="Times New Roman" w:eastAsia="仿宋" w:cs="Times New Roman"/>
              </w:rPr>
            </w:pP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应急能力建设</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主要是应急队伍和应急资源保障建设。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noWrap w:val="0"/>
            <w:vAlign w:val="center"/>
          </w:tcPr>
          <w:p>
            <w:pPr>
              <w:pStyle w:val="2"/>
              <w:jc w:val="center"/>
              <w:rPr>
                <w:rFonts w:ascii="Times New Roman" w:hAnsi="Times New Roman" w:eastAsia="仿宋" w:cs="Times New Roman"/>
              </w:rPr>
            </w:pP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预警和信息报送</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根据新的文件把预警和信息报送进行了仔细汇总。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noWrap w:val="0"/>
            <w:vAlign w:val="center"/>
          </w:tcPr>
          <w:p>
            <w:pPr>
              <w:pStyle w:val="2"/>
              <w:jc w:val="center"/>
              <w:rPr>
                <w:rFonts w:ascii="Times New Roman" w:hAnsi="Times New Roman" w:eastAsia="仿宋" w:cs="Times New Roman"/>
              </w:rPr>
            </w:pP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应急响应和措施</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根据风险评估情况，对每一个风险物质和风险源设置了针对性的应急措施。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noWrap w:val="0"/>
            <w:vAlign w:val="center"/>
          </w:tcPr>
          <w:p>
            <w:pPr>
              <w:pStyle w:val="2"/>
              <w:jc w:val="center"/>
              <w:rPr>
                <w:rFonts w:ascii="Times New Roman" w:hAnsi="Times New Roman" w:eastAsia="仿宋" w:cs="Times New Roman"/>
              </w:rPr>
            </w:pPr>
          </w:p>
        </w:tc>
        <w:tc>
          <w:tcPr>
            <w:tcW w:w="287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附图附件</w:t>
            </w:r>
          </w:p>
        </w:tc>
        <w:tc>
          <w:tcPr>
            <w:tcW w:w="4870"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图件进行了重新整理，附件进行精减和补充。</w:t>
            </w:r>
          </w:p>
        </w:tc>
      </w:tr>
    </w:tbl>
    <w:p>
      <w:pPr>
        <w:ind w:firstLine="560"/>
        <w:rPr>
          <w:color w:val="000000"/>
        </w:rPr>
      </w:pPr>
      <w:r>
        <w:rPr>
          <w:color w:val="000000"/>
        </w:rPr>
        <w:t>1、根据企业2020年12月扩建情况，以及重新修订和更新的法律法规对企业的环境风险物质进行重新识别，根据企业最新的环境风险防控措施和应急措施情况对企业涉气环境风险和涉水环境风险进行了等级确定；</w:t>
      </w:r>
    </w:p>
    <w:p>
      <w:pPr>
        <w:ind w:firstLine="560"/>
        <w:rPr>
          <w:color w:val="000000"/>
        </w:rPr>
      </w:pPr>
      <w:r>
        <w:rPr>
          <w:color w:val="000000"/>
        </w:rPr>
        <w:t>2、根据企业环境风险应急物质保障情况，结合其他应急能力建设，更新了公司应急响应和处置措施。</w:t>
      </w: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sectPr>
          <w:pgSz w:w="11906" w:h="16838"/>
          <w:pgMar w:top="1440" w:right="1800" w:bottom="1440" w:left="1800" w:header="851" w:footer="992" w:gutter="0"/>
          <w:pgNumType w:fmt="upperRoman" w:start="1" w:chapStyle="1"/>
          <w:cols w:space="720" w:num="1"/>
          <w:docGrid w:type="linesAndChars" w:linePitch="312" w:charSpace="0"/>
        </w:sectPr>
      </w:pPr>
    </w:p>
    <w:p>
      <w:pPr>
        <w:pStyle w:val="2"/>
        <w:rPr>
          <w:rFonts w:ascii="Times New Roman" w:hAnsi="Times New Roman" w:eastAsia="仿宋" w:cs="Times New Roman"/>
          <w:b/>
          <w:kern w:val="2"/>
          <w:sz w:val="28"/>
          <w:szCs w:val="28"/>
        </w:rPr>
      </w:pPr>
      <w:r>
        <w:rPr>
          <w:rFonts w:ascii="Times New Roman" w:hAnsi="Times New Roman" w:eastAsia="仿宋" w:cs="Times New Roman"/>
          <w:b/>
          <w:kern w:val="2"/>
          <w:sz w:val="28"/>
          <w:szCs w:val="28"/>
        </w:rPr>
        <w:t>附件1  环境影响评价相关文件</w:t>
      </w:r>
    </w:p>
    <w:p>
      <w:pPr>
        <w:pStyle w:val="2"/>
        <w:rPr>
          <w:rFonts w:hint="eastAsia" w:ascii="Times New Roman" w:hAnsi="Times New Roman" w:eastAsia="仿宋" w:cs="Times New Roman"/>
          <w:kern w:val="2"/>
          <w:sz w:val="28"/>
          <w:szCs w:val="28"/>
        </w:rPr>
      </w:pPr>
      <w:r>
        <w:rPr>
          <w:rFonts w:ascii="Times New Roman" w:hAnsi="Times New Roman" w:eastAsia="仿宋" w:cs="Times New Roman"/>
          <w:kern w:val="2"/>
          <w:sz w:val="28"/>
          <w:szCs w:val="28"/>
        </w:rPr>
        <w:drawing>
          <wp:inline distT="0" distB="0" distL="114300" distR="114300">
            <wp:extent cx="5295900" cy="8343265"/>
            <wp:effectExtent l="0" t="0" r="7620" b="8255"/>
            <wp:docPr id="41" name="图片 15" descr="附件1  环境影响评价相关文件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附件1  环境影响评价相关文件_页面_01"/>
                    <pic:cNvPicPr>
                      <a:picLocks noChangeAspect="1"/>
                    </pic:cNvPicPr>
                  </pic:nvPicPr>
                  <pic:blipFill>
                    <a:blip r:embed="rId15"/>
                    <a:stretch>
                      <a:fillRect/>
                    </a:stretch>
                  </pic:blipFill>
                  <pic:spPr>
                    <a:xfrm>
                      <a:off x="0" y="0"/>
                      <a:ext cx="5295900" cy="8343265"/>
                    </a:xfrm>
                    <a:prstGeom prst="rect">
                      <a:avLst/>
                    </a:prstGeom>
                    <a:noFill/>
                    <a:ln>
                      <a:noFill/>
                    </a:ln>
                  </pic:spPr>
                </pic:pic>
              </a:graphicData>
            </a:graphic>
          </wp:inline>
        </w:drawing>
      </w:r>
    </w:p>
    <w:p>
      <w:pPr>
        <w:pStyle w:val="2"/>
        <w:rPr>
          <w:rFonts w:hint="eastAsia" w:ascii="Times New Roman" w:hAnsi="Times New Roman" w:eastAsia="仿宋" w:cs="Times New Roman"/>
          <w:kern w:val="2"/>
          <w:sz w:val="28"/>
          <w:szCs w:val="28"/>
        </w:rPr>
      </w:pPr>
      <w:r>
        <w:rPr>
          <w:rFonts w:ascii="Times New Roman" w:hAnsi="Times New Roman" w:eastAsia="仿宋" w:cs="Times New Roman"/>
          <w:kern w:val="2"/>
          <w:sz w:val="28"/>
          <w:szCs w:val="28"/>
        </w:rPr>
        <w:drawing>
          <wp:inline distT="0" distB="0" distL="114300" distR="114300">
            <wp:extent cx="5182870" cy="8545830"/>
            <wp:effectExtent l="0" t="0" r="13970" b="3810"/>
            <wp:docPr id="52" name="图片 16" descr="附件1  环境影响评价相关文件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附件1  环境影响评价相关文件_页面_02"/>
                    <pic:cNvPicPr>
                      <a:picLocks noChangeAspect="1"/>
                    </pic:cNvPicPr>
                  </pic:nvPicPr>
                  <pic:blipFill>
                    <a:blip r:embed="rId16"/>
                    <a:stretch>
                      <a:fillRect/>
                    </a:stretch>
                  </pic:blipFill>
                  <pic:spPr>
                    <a:xfrm>
                      <a:off x="0" y="0"/>
                      <a:ext cx="5182870" cy="8545830"/>
                    </a:xfrm>
                    <a:prstGeom prst="rect">
                      <a:avLst/>
                    </a:prstGeom>
                    <a:noFill/>
                    <a:ln>
                      <a:noFill/>
                    </a:ln>
                  </pic:spPr>
                </pic:pic>
              </a:graphicData>
            </a:graphic>
          </wp:inline>
        </w:drawing>
      </w:r>
    </w:p>
    <w:p>
      <w:pPr>
        <w:pStyle w:val="2"/>
        <w:rPr>
          <w:rFonts w:hint="eastAsia" w:ascii="Times New Roman" w:hAnsi="Times New Roman" w:eastAsia="仿宋" w:cs="Times New Roman"/>
          <w:kern w:val="2"/>
          <w:sz w:val="28"/>
          <w:szCs w:val="28"/>
        </w:rPr>
      </w:pPr>
      <w:r>
        <w:rPr>
          <w:rFonts w:ascii="Times New Roman" w:hAnsi="Times New Roman" w:eastAsia="仿宋" w:cs="Times New Roman"/>
          <w:kern w:val="2"/>
          <w:sz w:val="28"/>
          <w:szCs w:val="28"/>
        </w:rPr>
        <w:drawing>
          <wp:inline distT="0" distB="0" distL="114300" distR="114300">
            <wp:extent cx="5335905" cy="8543290"/>
            <wp:effectExtent l="0" t="0" r="13335" b="6350"/>
            <wp:docPr id="53" name="图片 17" descr="附件1  环境影响评价相关文件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附件1  环境影响评价相关文件_页面_03"/>
                    <pic:cNvPicPr>
                      <a:picLocks noChangeAspect="1"/>
                    </pic:cNvPicPr>
                  </pic:nvPicPr>
                  <pic:blipFill>
                    <a:blip r:embed="rId17"/>
                    <a:stretch>
                      <a:fillRect/>
                    </a:stretch>
                  </pic:blipFill>
                  <pic:spPr>
                    <a:xfrm>
                      <a:off x="0" y="0"/>
                      <a:ext cx="5335905" cy="8543290"/>
                    </a:xfrm>
                    <a:prstGeom prst="rect">
                      <a:avLst/>
                    </a:prstGeom>
                    <a:noFill/>
                    <a:ln>
                      <a:noFill/>
                    </a:ln>
                  </pic:spPr>
                </pic:pic>
              </a:graphicData>
            </a:graphic>
          </wp:inline>
        </w:drawing>
      </w:r>
    </w:p>
    <w:p>
      <w:pPr>
        <w:pStyle w:val="2"/>
        <w:rPr>
          <w:rFonts w:hint="eastAsia" w:ascii="Times New Roman" w:hAnsi="Times New Roman" w:eastAsia="仿宋" w:cs="Times New Roman"/>
          <w:kern w:val="2"/>
          <w:sz w:val="28"/>
          <w:szCs w:val="28"/>
        </w:rPr>
      </w:pPr>
      <w:r>
        <w:rPr>
          <w:rFonts w:ascii="Times New Roman" w:hAnsi="Times New Roman" w:eastAsia="仿宋" w:cs="Times New Roman"/>
          <w:kern w:val="2"/>
          <w:sz w:val="28"/>
          <w:szCs w:val="28"/>
        </w:rPr>
        <w:drawing>
          <wp:inline distT="0" distB="0" distL="114300" distR="114300">
            <wp:extent cx="5286375" cy="8569960"/>
            <wp:effectExtent l="0" t="0" r="1905" b="10160"/>
            <wp:docPr id="40" name="图片 18" descr="附件1  环境影响评价相关文件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附件1  环境影响评价相关文件_页面_04"/>
                    <pic:cNvPicPr>
                      <a:picLocks noChangeAspect="1"/>
                    </pic:cNvPicPr>
                  </pic:nvPicPr>
                  <pic:blipFill>
                    <a:blip r:embed="rId18"/>
                    <a:stretch>
                      <a:fillRect/>
                    </a:stretch>
                  </pic:blipFill>
                  <pic:spPr>
                    <a:xfrm>
                      <a:off x="0" y="0"/>
                      <a:ext cx="5286375" cy="8569960"/>
                    </a:xfrm>
                    <a:prstGeom prst="rect">
                      <a:avLst/>
                    </a:prstGeom>
                    <a:noFill/>
                    <a:ln>
                      <a:noFill/>
                    </a:ln>
                  </pic:spPr>
                </pic:pic>
              </a:graphicData>
            </a:graphic>
          </wp:inline>
        </w:drawing>
      </w:r>
    </w:p>
    <w:p>
      <w:pPr>
        <w:pStyle w:val="2"/>
        <w:rPr>
          <w:rFonts w:hint="eastAsia" w:ascii="Times New Roman" w:hAnsi="Times New Roman" w:eastAsia="仿宋" w:cs="Times New Roman"/>
          <w:kern w:val="2"/>
          <w:sz w:val="28"/>
          <w:szCs w:val="28"/>
        </w:rPr>
      </w:pPr>
      <w:r>
        <w:rPr>
          <w:rFonts w:ascii="Times New Roman" w:hAnsi="Times New Roman" w:eastAsia="仿宋" w:cs="Times New Roman"/>
          <w:kern w:val="2"/>
          <w:sz w:val="28"/>
          <w:szCs w:val="28"/>
        </w:rPr>
        <w:drawing>
          <wp:inline distT="0" distB="0" distL="114300" distR="114300">
            <wp:extent cx="5324475" cy="8473440"/>
            <wp:effectExtent l="0" t="0" r="9525" b="0"/>
            <wp:docPr id="56" name="图片 19" descr="附件1  环境影响评价相关文件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descr="附件1  环境影响评价相关文件_页面_05"/>
                    <pic:cNvPicPr>
                      <a:picLocks noChangeAspect="1"/>
                    </pic:cNvPicPr>
                  </pic:nvPicPr>
                  <pic:blipFill>
                    <a:blip r:embed="rId19"/>
                    <a:stretch>
                      <a:fillRect/>
                    </a:stretch>
                  </pic:blipFill>
                  <pic:spPr>
                    <a:xfrm>
                      <a:off x="0" y="0"/>
                      <a:ext cx="5324475" cy="8473440"/>
                    </a:xfrm>
                    <a:prstGeom prst="rect">
                      <a:avLst/>
                    </a:prstGeom>
                    <a:noFill/>
                    <a:ln>
                      <a:noFill/>
                    </a:ln>
                  </pic:spPr>
                </pic:pic>
              </a:graphicData>
            </a:graphic>
          </wp:inline>
        </w:drawing>
      </w:r>
    </w:p>
    <w:p>
      <w:pPr>
        <w:pStyle w:val="2"/>
        <w:rPr>
          <w:rFonts w:hint="eastAsia" w:ascii="Times New Roman" w:hAnsi="Times New Roman" w:eastAsia="仿宋" w:cs="Times New Roman"/>
          <w:kern w:val="2"/>
          <w:sz w:val="28"/>
          <w:szCs w:val="28"/>
        </w:rPr>
      </w:pPr>
      <w:r>
        <w:rPr>
          <w:rFonts w:ascii="Times New Roman" w:hAnsi="Times New Roman" w:eastAsia="仿宋" w:cs="Times New Roman"/>
          <w:kern w:val="2"/>
          <w:sz w:val="28"/>
          <w:szCs w:val="28"/>
        </w:rPr>
        <w:drawing>
          <wp:inline distT="0" distB="0" distL="114300" distR="114300">
            <wp:extent cx="5388610" cy="8597900"/>
            <wp:effectExtent l="0" t="0" r="6350" b="12700"/>
            <wp:docPr id="54" name="图片 20" descr="附件1  环境影响评价相关文件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附件1  环境影响评价相关文件_页面_06"/>
                    <pic:cNvPicPr>
                      <a:picLocks noChangeAspect="1"/>
                    </pic:cNvPicPr>
                  </pic:nvPicPr>
                  <pic:blipFill>
                    <a:blip r:embed="rId20"/>
                    <a:stretch>
                      <a:fillRect/>
                    </a:stretch>
                  </pic:blipFill>
                  <pic:spPr>
                    <a:xfrm>
                      <a:off x="0" y="0"/>
                      <a:ext cx="5388610" cy="8597900"/>
                    </a:xfrm>
                    <a:prstGeom prst="rect">
                      <a:avLst/>
                    </a:prstGeom>
                    <a:noFill/>
                    <a:ln>
                      <a:noFill/>
                    </a:ln>
                  </pic:spPr>
                </pic:pic>
              </a:graphicData>
            </a:graphic>
          </wp:inline>
        </w:drawing>
      </w:r>
    </w:p>
    <w:p>
      <w:pPr>
        <w:pStyle w:val="2"/>
        <w:rPr>
          <w:rFonts w:hint="eastAsia" w:ascii="Times New Roman" w:hAnsi="Times New Roman" w:eastAsia="仿宋" w:cs="Times New Roman"/>
          <w:kern w:val="2"/>
          <w:sz w:val="28"/>
          <w:szCs w:val="28"/>
        </w:rPr>
      </w:pPr>
      <w:r>
        <w:rPr>
          <w:rFonts w:ascii="Times New Roman" w:hAnsi="Times New Roman" w:eastAsia="仿宋" w:cs="Times New Roman"/>
          <w:kern w:val="2"/>
          <w:sz w:val="28"/>
          <w:szCs w:val="28"/>
        </w:rPr>
        <w:drawing>
          <wp:inline distT="0" distB="0" distL="114300" distR="114300">
            <wp:extent cx="5295900" cy="8696325"/>
            <wp:effectExtent l="0" t="0" r="7620" b="5715"/>
            <wp:docPr id="55" name="图片 21" descr="附件1  环境影响评价相关文件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descr="附件1  环境影响评价相关文件_页面_07"/>
                    <pic:cNvPicPr>
                      <a:picLocks noChangeAspect="1"/>
                    </pic:cNvPicPr>
                  </pic:nvPicPr>
                  <pic:blipFill>
                    <a:blip r:embed="rId21"/>
                    <a:stretch>
                      <a:fillRect/>
                    </a:stretch>
                  </pic:blipFill>
                  <pic:spPr>
                    <a:xfrm>
                      <a:off x="0" y="0"/>
                      <a:ext cx="5295900" cy="8696325"/>
                    </a:xfrm>
                    <a:prstGeom prst="rect">
                      <a:avLst/>
                    </a:prstGeom>
                    <a:noFill/>
                    <a:ln>
                      <a:noFill/>
                    </a:ln>
                  </pic:spPr>
                </pic:pic>
              </a:graphicData>
            </a:graphic>
          </wp:inline>
        </w:drawing>
      </w:r>
    </w:p>
    <w:p>
      <w:pPr>
        <w:pStyle w:val="2"/>
        <w:rPr>
          <w:rFonts w:hint="eastAsia" w:ascii="Times New Roman" w:hAnsi="Times New Roman" w:eastAsia="仿宋" w:cs="Times New Roman"/>
          <w:kern w:val="2"/>
          <w:sz w:val="28"/>
          <w:szCs w:val="28"/>
        </w:rPr>
      </w:pPr>
      <w:r>
        <w:rPr>
          <w:rFonts w:ascii="Times New Roman" w:hAnsi="Times New Roman" w:eastAsia="仿宋" w:cs="Times New Roman"/>
          <w:kern w:val="2"/>
          <w:sz w:val="28"/>
          <w:szCs w:val="28"/>
        </w:rPr>
        <w:drawing>
          <wp:inline distT="0" distB="0" distL="114300" distR="114300">
            <wp:extent cx="5448935" cy="8480425"/>
            <wp:effectExtent l="0" t="0" r="6985" b="8255"/>
            <wp:docPr id="42" name="图片 22" descr="附件1  环境影响评价相关文件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附件1  环境影响评价相关文件_页面_08"/>
                    <pic:cNvPicPr>
                      <a:picLocks noChangeAspect="1"/>
                    </pic:cNvPicPr>
                  </pic:nvPicPr>
                  <pic:blipFill>
                    <a:blip r:embed="rId22"/>
                    <a:stretch>
                      <a:fillRect/>
                    </a:stretch>
                  </pic:blipFill>
                  <pic:spPr>
                    <a:xfrm>
                      <a:off x="0" y="0"/>
                      <a:ext cx="5448935" cy="8480425"/>
                    </a:xfrm>
                    <a:prstGeom prst="rect">
                      <a:avLst/>
                    </a:prstGeom>
                    <a:noFill/>
                    <a:ln>
                      <a:noFill/>
                    </a:ln>
                  </pic:spPr>
                </pic:pic>
              </a:graphicData>
            </a:graphic>
          </wp:inline>
        </w:drawing>
      </w:r>
    </w:p>
    <w:p>
      <w:pPr>
        <w:pStyle w:val="2"/>
        <w:rPr>
          <w:rFonts w:ascii="Times New Roman" w:hAnsi="Times New Roman" w:cs="Times New Roman"/>
        </w:rPr>
        <w:sectPr>
          <w:pgSz w:w="11906" w:h="16838"/>
          <w:pgMar w:top="1440" w:right="1800" w:bottom="1440" w:left="1800" w:header="851" w:footer="992" w:gutter="0"/>
          <w:pgNumType w:fmt="upperRoman" w:start="1" w:chapStyle="1"/>
          <w:cols w:space="720" w:num="1"/>
          <w:docGrid w:type="linesAndChars" w:linePitch="312" w:charSpace="0"/>
        </w:sectPr>
      </w:pPr>
      <w:bookmarkStart w:id="95" w:name="_GoBack"/>
      <w:bookmarkEnd w:id="95"/>
    </w:p>
    <w:p>
      <w:pPr>
        <w:pStyle w:val="2"/>
        <w:rPr>
          <w:rFonts w:ascii="Times New Roman" w:hAnsi="Times New Roman" w:cs="Times New Roman"/>
        </w:rPr>
      </w:pPr>
    </w:p>
    <w:p>
      <w:pPr>
        <w:ind w:left="420" w:firstLine="0" w:firstLineChars="0"/>
        <w:jc w:val="center"/>
        <w:rPr>
          <w:b/>
          <w:color w:val="000000"/>
        </w:rPr>
      </w:pPr>
      <w:r>
        <w:rPr>
          <w:b/>
          <w:color w:val="000000"/>
        </w:rPr>
        <w:t>目  录</w:t>
      </w:r>
    </w:p>
    <w:p>
      <w:pPr>
        <w:pStyle w:val="8"/>
        <w:rPr>
          <w:rFonts w:ascii="Calibri" w:hAnsi="Calibri" w:eastAsia="宋体"/>
          <w:b w:val="0"/>
          <w:sz w:val="21"/>
        </w:rPr>
      </w:pPr>
      <w:r>
        <w:rPr>
          <w:rFonts w:eastAsia="仿宋"/>
          <w:color w:val="000000"/>
          <w:sz w:val="52"/>
          <w:szCs w:val="52"/>
        </w:rPr>
        <w:fldChar w:fldCharType="begin"/>
      </w:r>
      <w:r>
        <w:rPr>
          <w:rFonts w:eastAsia="仿宋"/>
          <w:color w:val="000000"/>
          <w:sz w:val="52"/>
          <w:szCs w:val="52"/>
        </w:rPr>
        <w:instrText xml:space="preserve"> TOC \o "1-2" \h \z \u </w:instrText>
      </w:r>
      <w:r>
        <w:rPr>
          <w:rFonts w:eastAsia="仿宋"/>
          <w:color w:val="000000"/>
          <w:sz w:val="52"/>
          <w:szCs w:val="52"/>
        </w:rPr>
        <w:fldChar w:fldCharType="separate"/>
      </w:r>
      <w:r>
        <w:rPr>
          <w:rStyle w:val="13"/>
        </w:rPr>
        <w:fldChar w:fldCharType="begin"/>
      </w:r>
      <w:r>
        <w:rPr>
          <w:rStyle w:val="13"/>
        </w:rPr>
        <w:instrText xml:space="preserve"> </w:instrText>
      </w:r>
      <w:r>
        <w:instrText xml:space="preserve">HYPERLINK \l "_Toc120195367"</w:instrText>
      </w:r>
      <w:r>
        <w:rPr>
          <w:rStyle w:val="13"/>
        </w:rPr>
        <w:instrText xml:space="preserve"> </w:instrText>
      </w:r>
      <w:r>
        <w:rPr>
          <w:rStyle w:val="13"/>
        </w:rPr>
        <w:fldChar w:fldCharType="separate"/>
      </w:r>
      <w:r>
        <w:rPr>
          <w:rStyle w:val="13"/>
        </w:rPr>
        <w:t>1</w:t>
      </w:r>
      <w:r>
        <w:rPr>
          <w:rStyle w:val="13"/>
          <w:rFonts w:hint="eastAsia"/>
        </w:rPr>
        <w:t>总则</w:t>
      </w:r>
      <w:r>
        <w:tab/>
      </w:r>
      <w:r>
        <w:fldChar w:fldCharType="begin"/>
      </w:r>
      <w:r>
        <w:instrText xml:space="preserve"> PAGEREF _Toc120195367 \h </w:instrText>
      </w:r>
      <w:r>
        <w:fldChar w:fldCharType="separate"/>
      </w:r>
      <w:r>
        <w:t>1</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"_Toc120195368"</w:instrText>
      </w:r>
      <w:r>
        <w:rPr>
          <w:rStyle w:val="13"/>
        </w:rPr>
        <w:instrText xml:space="preserve"> </w:instrText>
      </w:r>
      <w:r>
        <w:rPr>
          <w:rStyle w:val="13"/>
        </w:rPr>
        <w:fldChar w:fldCharType="separate"/>
      </w:r>
      <w:r>
        <w:rPr>
          <w:rStyle w:val="13"/>
        </w:rPr>
        <w:t>1.1</w:t>
      </w:r>
      <w:r>
        <w:rPr>
          <w:rStyle w:val="13"/>
          <w:rFonts w:hint="eastAsia"/>
        </w:rPr>
        <w:t>编制目的</w:t>
      </w:r>
      <w:r>
        <w:tab/>
      </w:r>
      <w:r>
        <w:fldChar w:fldCharType="begin"/>
      </w:r>
      <w:r>
        <w:instrText xml:space="preserve"> PAGEREF _Toc120195368 \h </w:instrText>
      </w:r>
      <w:r>
        <w:fldChar w:fldCharType="separate"/>
      </w:r>
      <w:r>
        <w:t>1</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"_Toc120195369"</w:instrText>
      </w:r>
      <w:r>
        <w:rPr>
          <w:rStyle w:val="13"/>
        </w:rPr>
        <w:instrText xml:space="preserve"> </w:instrText>
      </w:r>
      <w:r>
        <w:rPr>
          <w:rStyle w:val="13"/>
        </w:rPr>
        <w:fldChar w:fldCharType="separate"/>
      </w:r>
      <w:r>
        <w:rPr>
          <w:rStyle w:val="13"/>
        </w:rPr>
        <w:t>1.2</w:t>
      </w:r>
      <w:r>
        <w:rPr>
          <w:rStyle w:val="13"/>
          <w:rFonts w:hint="eastAsia"/>
        </w:rPr>
        <w:t>适用范围</w:t>
      </w:r>
      <w:r>
        <w:tab/>
      </w:r>
      <w:r>
        <w:fldChar w:fldCharType="begin"/>
      </w:r>
      <w:r>
        <w:instrText xml:space="preserve"> PAGEREF _Toc120195369 \h </w:instrText>
      </w:r>
      <w:r>
        <w:fldChar w:fldCharType="separate"/>
      </w:r>
      <w:r>
        <w:t>1</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"_Toc120195370"</w:instrText>
      </w:r>
      <w:r>
        <w:rPr>
          <w:rStyle w:val="13"/>
        </w:rPr>
        <w:instrText xml:space="preserve"> </w:instrText>
      </w:r>
      <w:r>
        <w:rPr>
          <w:rStyle w:val="13"/>
        </w:rPr>
        <w:fldChar w:fldCharType="separate"/>
      </w:r>
      <w:r>
        <w:rPr>
          <w:rStyle w:val="13"/>
        </w:rPr>
        <w:t>1.3</w:t>
      </w:r>
      <w:r>
        <w:rPr>
          <w:rStyle w:val="13"/>
          <w:rFonts w:hint="eastAsia"/>
        </w:rPr>
        <w:t>工作原则</w:t>
      </w:r>
      <w:r>
        <w:tab/>
      </w:r>
      <w:r>
        <w:fldChar w:fldCharType="begin"/>
      </w:r>
      <w:r>
        <w:instrText xml:space="preserve"> PAGEREF _Toc120195370 \h </w:instrText>
      </w:r>
      <w:r>
        <w:fldChar w:fldCharType="separate"/>
      </w:r>
      <w:r>
        <w:t>1</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"_Toc120195371"</w:instrText>
      </w:r>
      <w:r>
        <w:rPr>
          <w:rStyle w:val="13"/>
        </w:rPr>
        <w:instrText xml:space="preserve"> </w:instrText>
      </w:r>
      <w:r>
        <w:rPr>
          <w:rStyle w:val="13"/>
        </w:rPr>
        <w:fldChar w:fldCharType="separate"/>
      </w:r>
      <w:r>
        <w:rPr>
          <w:rStyle w:val="13"/>
        </w:rPr>
        <w:t>1.4</w:t>
      </w:r>
      <w:r>
        <w:rPr>
          <w:rStyle w:val="13"/>
          <w:rFonts w:hint="eastAsia"/>
        </w:rPr>
        <w:t>事件分级及预案衔接</w:t>
      </w:r>
      <w:r>
        <w:tab/>
      </w:r>
      <w:r>
        <w:fldChar w:fldCharType="begin"/>
      </w:r>
      <w:r>
        <w:instrText xml:space="preserve"> PAGEREF _Toc120195371 \h </w:instrText>
      </w:r>
      <w:r>
        <w:fldChar w:fldCharType="separate"/>
      </w:r>
      <w:r>
        <w:t>2</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"_Toc120195372"</w:instrText>
      </w:r>
      <w:r>
        <w:rPr>
          <w:rStyle w:val="13"/>
        </w:rPr>
        <w:instrText xml:space="preserve"> </w:instrText>
      </w:r>
      <w:r>
        <w:rPr>
          <w:rStyle w:val="13"/>
        </w:rPr>
        <w:fldChar w:fldCharType="separate"/>
      </w:r>
      <w:r>
        <w:rPr>
          <w:rStyle w:val="13"/>
        </w:rPr>
        <w:t>1.5</w:t>
      </w:r>
      <w:r>
        <w:rPr>
          <w:rStyle w:val="13"/>
          <w:rFonts w:hint="eastAsia"/>
        </w:rPr>
        <w:t>编制依据</w:t>
      </w:r>
      <w:r>
        <w:tab/>
      </w:r>
      <w:r>
        <w:fldChar w:fldCharType="begin"/>
      </w:r>
      <w:r>
        <w:instrText xml:space="preserve"> PAGEREF _Toc120195372 \h </w:instrText>
      </w:r>
      <w:r>
        <w:fldChar w:fldCharType="separate"/>
      </w:r>
      <w:r>
        <w:t>3</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"_Toc120195373"</w:instrText>
      </w:r>
      <w:r>
        <w:rPr>
          <w:rStyle w:val="13"/>
        </w:rPr>
        <w:instrText xml:space="preserve"> </w:instrText>
      </w:r>
      <w:r>
        <w:rPr>
          <w:rStyle w:val="13"/>
        </w:rPr>
        <w:fldChar w:fldCharType="separate"/>
      </w:r>
      <w:r>
        <w:rPr>
          <w:rStyle w:val="13"/>
        </w:rPr>
        <w:t>2</w:t>
      </w:r>
      <w:r>
        <w:rPr>
          <w:rStyle w:val="13"/>
          <w:rFonts w:hint="eastAsia"/>
        </w:rPr>
        <w:t>企业基本情况</w:t>
      </w:r>
      <w:r>
        <w:tab/>
      </w:r>
      <w:r>
        <w:fldChar w:fldCharType="begin"/>
      </w:r>
      <w:r>
        <w:instrText xml:space="preserve"> PAGEREF _Toc120195373 \h </w:instrText>
      </w:r>
      <w:r>
        <w:fldChar w:fldCharType="separate"/>
      </w:r>
      <w:r>
        <w:t>7</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"_Toc120195374"</w:instrText>
      </w:r>
      <w:r>
        <w:rPr>
          <w:rStyle w:val="13"/>
        </w:rPr>
        <w:instrText xml:space="preserve"> </w:instrText>
      </w:r>
      <w:r>
        <w:rPr>
          <w:rStyle w:val="13"/>
        </w:rPr>
        <w:fldChar w:fldCharType="separate"/>
      </w:r>
      <w:r>
        <w:rPr>
          <w:rStyle w:val="13"/>
        </w:rPr>
        <w:t>2.1</w:t>
      </w:r>
      <w:r>
        <w:rPr>
          <w:rStyle w:val="13"/>
          <w:rFonts w:hint="eastAsia"/>
        </w:rPr>
        <w:t>企业情况简介</w:t>
      </w:r>
      <w:r>
        <w:tab/>
      </w:r>
      <w:r>
        <w:fldChar w:fldCharType="begin"/>
      </w:r>
      <w:r>
        <w:instrText xml:space="preserve"> PAGEREF _Toc120195374 \h </w:instrText>
      </w:r>
      <w:r>
        <w:fldChar w:fldCharType="separate"/>
      </w:r>
      <w:r>
        <w:t>7</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"_Toc120195375"</w:instrText>
      </w:r>
      <w:r>
        <w:rPr>
          <w:rStyle w:val="13"/>
        </w:rPr>
        <w:instrText xml:space="preserve"> </w:instrText>
      </w:r>
      <w:r>
        <w:rPr>
          <w:rStyle w:val="13"/>
        </w:rPr>
        <w:fldChar w:fldCharType="separate"/>
      </w:r>
      <w:r>
        <w:rPr>
          <w:rStyle w:val="13"/>
        </w:rPr>
        <w:t>3</w:t>
      </w:r>
      <w:r>
        <w:rPr>
          <w:rStyle w:val="13"/>
          <w:rFonts w:hint="eastAsia"/>
        </w:rPr>
        <w:t>环境风险源辨识与风险评估</w:t>
      </w:r>
      <w:r>
        <w:tab/>
      </w:r>
      <w:r>
        <w:fldChar w:fldCharType="begin"/>
      </w:r>
      <w:r>
        <w:instrText xml:space="preserve"> PAGEREF _Toc120195375 \h </w:instrText>
      </w:r>
      <w:r>
        <w:fldChar w:fldCharType="separate"/>
      </w:r>
      <w:r>
        <w:t>10</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"_Toc120195376"</w:instrText>
      </w:r>
      <w:r>
        <w:rPr>
          <w:rStyle w:val="13"/>
        </w:rPr>
        <w:instrText xml:space="preserve"> </w:instrText>
      </w:r>
      <w:r>
        <w:rPr>
          <w:rStyle w:val="13"/>
        </w:rPr>
        <w:fldChar w:fldCharType="separate"/>
      </w:r>
      <w:r>
        <w:rPr>
          <w:rStyle w:val="13"/>
        </w:rPr>
        <w:t>4</w:t>
      </w:r>
      <w:r>
        <w:rPr>
          <w:rStyle w:val="13"/>
          <w:rFonts w:hint="eastAsia"/>
        </w:rPr>
        <w:t>组织机构及职责</w:t>
      </w:r>
      <w:r>
        <w:tab/>
      </w:r>
      <w:r>
        <w:fldChar w:fldCharType="begin"/>
      </w:r>
      <w:r>
        <w:instrText xml:space="preserve"> PAGEREF _Toc120195376 \h </w:instrText>
      </w:r>
      <w:r>
        <w:fldChar w:fldCharType="separate"/>
      </w:r>
      <w:r>
        <w:t>12</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"_Toc120195377"</w:instrText>
      </w:r>
      <w:r>
        <w:rPr>
          <w:rStyle w:val="13"/>
        </w:rPr>
        <w:instrText xml:space="preserve"> </w:instrText>
      </w:r>
      <w:r>
        <w:rPr>
          <w:rStyle w:val="13"/>
        </w:rPr>
        <w:fldChar w:fldCharType="separate"/>
      </w:r>
      <w:r>
        <w:rPr>
          <w:rStyle w:val="13"/>
        </w:rPr>
        <w:t>4.1</w:t>
      </w:r>
      <w:r>
        <w:rPr>
          <w:rStyle w:val="13"/>
          <w:rFonts w:hint="eastAsia"/>
        </w:rPr>
        <w:t>应急组织机构组成</w:t>
      </w:r>
      <w:r>
        <w:tab/>
      </w:r>
      <w:r>
        <w:fldChar w:fldCharType="begin"/>
      </w:r>
      <w:r>
        <w:instrText xml:space="preserve"> PAGEREF _Toc120195377 \h </w:instrText>
      </w:r>
      <w:r>
        <w:fldChar w:fldCharType="separate"/>
      </w:r>
      <w:r>
        <w:t>12</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"_Toc120195378"</w:instrText>
      </w:r>
      <w:r>
        <w:rPr>
          <w:rStyle w:val="13"/>
        </w:rPr>
        <w:instrText xml:space="preserve"> </w:instrText>
      </w:r>
      <w:r>
        <w:rPr>
          <w:rStyle w:val="13"/>
        </w:rPr>
        <w:fldChar w:fldCharType="separate"/>
      </w:r>
      <w:r>
        <w:rPr>
          <w:rStyle w:val="13"/>
        </w:rPr>
        <w:t>4.2</w:t>
      </w:r>
      <w:r>
        <w:rPr>
          <w:rStyle w:val="13"/>
          <w:rFonts w:hint="eastAsia"/>
        </w:rPr>
        <w:t>突发环境事件应急指挥部的主要职责</w:t>
      </w:r>
      <w:r>
        <w:tab/>
      </w:r>
      <w:r>
        <w:fldChar w:fldCharType="begin"/>
      </w:r>
      <w:r>
        <w:instrText xml:space="preserve"> PAGEREF _Toc120195378 \h </w:instrText>
      </w:r>
      <w:r>
        <w:fldChar w:fldCharType="separate"/>
      </w:r>
      <w:r>
        <w:t>13</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"_Toc120195379"</w:instrText>
      </w:r>
      <w:r>
        <w:rPr>
          <w:rStyle w:val="13"/>
        </w:rPr>
        <w:instrText xml:space="preserve"> </w:instrText>
      </w:r>
      <w:r>
        <w:rPr>
          <w:rStyle w:val="13"/>
        </w:rPr>
        <w:fldChar w:fldCharType="separate"/>
      </w:r>
      <w:r>
        <w:rPr>
          <w:rStyle w:val="13"/>
        </w:rPr>
        <w:t>4.3</w:t>
      </w:r>
      <w:r>
        <w:rPr>
          <w:rStyle w:val="13"/>
          <w:rFonts w:hint="eastAsia"/>
        </w:rPr>
        <w:t>应急处置队伍</w:t>
      </w:r>
      <w:r>
        <w:tab/>
      </w:r>
      <w:r>
        <w:fldChar w:fldCharType="begin"/>
      </w:r>
      <w:r>
        <w:instrText xml:space="preserve"> PAGEREF _Toc120195379 \h </w:instrText>
      </w:r>
      <w:r>
        <w:fldChar w:fldCharType="separate"/>
      </w:r>
      <w:r>
        <w:t>15</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"_Toc120195380"</w:instrText>
      </w:r>
      <w:r>
        <w:rPr>
          <w:rStyle w:val="13"/>
        </w:rPr>
        <w:instrText xml:space="preserve"> </w:instrText>
      </w:r>
      <w:r>
        <w:rPr>
          <w:rStyle w:val="13"/>
        </w:rPr>
        <w:fldChar w:fldCharType="separate"/>
      </w:r>
      <w:r>
        <w:rPr>
          <w:rStyle w:val="13"/>
        </w:rPr>
        <w:t>4.4</w:t>
      </w:r>
      <w:r>
        <w:rPr>
          <w:rStyle w:val="13"/>
          <w:rFonts w:hint="eastAsia"/>
        </w:rPr>
        <w:t>政府主导应急处置后的指挥与协调</w:t>
      </w:r>
      <w:r>
        <w:tab/>
      </w:r>
      <w:r>
        <w:fldChar w:fldCharType="begin"/>
      </w:r>
      <w:r>
        <w:instrText xml:space="preserve"> PAGEREF _Toc120195380 \h </w:instrText>
      </w:r>
      <w:r>
        <w:fldChar w:fldCharType="separate"/>
      </w:r>
      <w:r>
        <w:t>19</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"_Toc120195381"</w:instrText>
      </w:r>
      <w:r>
        <w:rPr>
          <w:rStyle w:val="13"/>
        </w:rPr>
        <w:instrText xml:space="preserve"> </w:instrText>
      </w:r>
      <w:r>
        <w:rPr>
          <w:rStyle w:val="13"/>
        </w:rPr>
        <w:fldChar w:fldCharType="separate"/>
      </w:r>
      <w:r>
        <w:rPr>
          <w:rStyle w:val="13"/>
        </w:rPr>
        <w:t>5</w:t>
      </w:r>
      <w:r>
        <w:rPr>
          <w:rStyle w:val="13"/>
          <w:rFonts w:hint="eastAsia"/>
        </w:rPr>
        <w:t>应急能力建设</w:t>
      </w:r>
      <w:r>
        <w:tab/>
      </w:r>
      <w:r>
        <w:fldChar w:fldCharType="begin"/>
      </w:r>
      <w:r>
        <w:instrText xml:space="preserve"> PAGEREF _Toc120195381 \h </w:instrText>
      </w:r>
      <w:r>
        <w:fldChar w:fldCharType="separate"/>
      </w:r>
      <w:r>
        <w:t>20</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"_Toc120195382"</w:instrText>
      </w:r>
      <w:r>
        <w:rPr>
          <w:rStyle w:val="13"/>
        </w:rPr>
        <w:instrText xml:space="preserve"> </w:instrText>
      </w:r>
      <w:r>
        <w:rPr>
          <w:rStyle w:val="13"/>
        </w:rPr>
        <w:fldChar w:fldCharType="separate"/>
      </w:r>
      <w:r>
        <w:rPr>
          <w:rStyle w:val="13"/>
        </w:rPr>
        <w:t>5.1</w:t>
      </w:r>
      <w:r>
        <w:rPr>
          <w:rStyle w:val="13"/>
          <w:rFonts w:hint="eastAsia"/>
        </w:rPr>
        <w:t>应急处置队伍建设</w:t>
      </w:r>
      <w:r>
        <w:tab/>
      </w:r>
      <w:r>
        <w:fldChar w:fldCharType="begin"/>
      </w:r>
      <w:r>
        <w:instrText xml:space="preserve"> PAGEREF _Toc120195382 \h </w:instrText>
      </w:r>
      <w:r>
        <w:fldChar w:fldCharType="separate"/>
      </w:r>
      <w:r>
        <w:t>20</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"_Toc120195383"</w:instrText>
      </w:r>
      <w:r>
        <w:rPr>
          <w:rStyle w:val="13"/>
        </w:rPr>
        <w:instrText xml:space="preserve"> </w:instrText>
      </w:r>
      <w:r>
        <w:rPr>
          <w:rStyle w:val="13"/>
        </w:rPr>
        <w:fldChar w:fldCharType="separate"/>
      </w:r>
      <w:r>
        <w:rPr>
          <w:rStyle w:val="13"/>
        </w:rPr>
        <w:t>5.2</w:t>
      </w:r>
      <w:r>
        <w:rPr>
          <w:rStyle w:val="13"/>
          <w:rFonts w:hint="eastAsia"/>
        </w:rPr>
        <w:t>应急资源保障建设</w:t>
      </w:r>
      <w:r>
        <w:tab/>
      </w:r>
      <w:r>
        <w:fldChar w:fldCharType="begin"/>
      </w:r>
      <w:r>
        <w:instrText xml:space="preserve"> PAGEREF _Toc120195383 \h </w:instrText>
      </w:r>
      <w:r>
        <w:fldChar w:fldCharType="separate"/>
      </w:r>
      <w:r>
        <w:t>22</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"_Toc120195384"</w:instrText>
      </w:r>
      <w:r>
        <w:rPr>
          <w:rStyle w:val="13"/>
        </w:rPr>
        <w:instrText xml:space="preserve"> </w:instrText>
      </w:r>
      <w:r>
        <w:rPr>
          <w:rStyle w:val="13"/>
        </w:rPr>
        <w:fldChar w:fldCharType="separate"/>
      </w:r>
      <w:r>
        <w:rPr>
          <w:rStyle w:val="13"/>
        </w:rPr>
        <w:t>5.3</w:t>
      </w:r>
      <w:r>
        <w:rPr>
          <w:rStyle w:val="13"/>
          <w:rFonts w:hint="eastAsia"/>
        </w:rPr>
        <w:t>经费及其他保障</w:t>
      </w:r>
      <w:r>
        <w:tab/>
      </w:r>
      <w:r>
        <w:fldChar w:fldCharType="begin"/>
      </w:r>
      <w:r>
        <w:instrText xml:space="preserve"> PAGEREF _Toc120195384 \h </w:instrText>
      </w:r>
      <w:r>
        <w:fldChar w:fldCharType="separate"/>
      </w:r>
      <w:r>
        <w:t>25</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"_Toc120195385"</w:instrText>
      </w:r>
      <w:r>
        <w:rPr>
          <w:rStyle w:val="13"/>
        </w:rPr>
        <w:instrText xml:space="preserve"> </w:instrText>
      </w:r>
      <w:r>
        <w:rPr>
          <w:rStyle w:val="13"/>
        </w:rPr>
        <w:fldChar w:fldCharType="separate"/>
      </w:r>
      <w:r>
        <w:rPr>
          <w:rStyle w:val="13"/>
        </w:rPr>
        <w:t>6</w:t>
      </w:r>
      <w:r>
        <w:rPr>
          <w:rStyle w:val="13"/>
          <w:rFonts w:hint="eastAsia"/>
        </w:rPr>
        <w:t>预警与信息报送</w:t>
      </w:r>
      <w:r>
        <w:tab/>
      </w:r>
      <w:r>
        <w:fldChar w:fldCharType="begin"/>
      </w:r>
      <w:r>
        <w:instrText xml:space="preserve"> PAGEREF _Toc120195385 \h </w:instrText>
      </w:r>
      <w:r>
        <w:fldChar w:fldCharType="separate"/>
      </w:r>
      <w:r>
        <w:t>27</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"_Toc120195386"</w:instrText>
      </w:r>
      <w:r>
        <w:rPr>
          <w:rStyle w:val="13"/>
        </w:rPr>
        <w:instrText xml:space="preserve"> </w:instrText>
      </w:r>
      <w:r>
        <w:rPr>
          <w:rStyle w:val="13"/>
        </w:rPr>
        <w:fldChar w:fldCharType="separate"/>
      </w:r>
      <w:r>
        <w:rPr>
          <w:rStyle w:val="13"/>
        </w:rPr>
        <w:t>6.1</w:t>
      </w:r>
      <w:r>
        <w:rPr>
          <w:rStyle w:val="13"/>
          <w:rFonts w:hint="eastAsia"/>
        </w:rPr>
        <w:t>预警准备措施</w:t>
      </w:r>
      <w:r>
        <w:tab/>
      </w:r>
      <w:r>
        <w:fldChar w:fldCharType="begin"/>
      </w:r>
      <w:r>
        <w:instrText xml:space="preserve"> PAGEREF _Toc120195386 \h </w:instrText>
      </w:r>
      <w:r>
        <w:fldChar w:fldCharType="separate"/>
      </w:r>
      <w:r>
        <w:t>27</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"_Toc120195387"</w:instrText>
      </w:r>
      <w:r>
        <w:rPr>
          <w:rStyle w:val="13"/>
        </w:rPr>
        <w:instrText xml:space="preserve"> </w:instrText>
      </w:r>
      <w:r>
        <w:rPr>
          <w:rStyle w:val="13"/>
        </w:rPr>
        <w:fldChar w:fldCharType="separate"/>
      </w:r>
      <w:r>
        <w:rPr>
          <w:rStyle w:val="13"/>
        </w:rPr>
        <w:t>6.2</w:t>
      </w:r>
      <w:r>
        <w:rPr>
          <w:rStyle w:val="13"/>
          <w:rFonts w:hint="eastAsia"/>
        </w:rPr>
        <w:t>预警</w:t>
      </w:r>
      <w:r>
        <w:tab/>
      </w:r>
      <w:r>
        <w:fldChar w:fldCharType="begin"/>
      </w:r>
      <w:r>
        <w:instrText xml:space="preserve"> PAGEREF _Toc120195387 \h </w:instrText>
      </w:r>
      <w:r>
        <w:fldChar w:fldCharType="separate"/>
      </w:r>
      <w:r>
        <w:t>28</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"_Toc120195388"</w:instrText>
      </w:r>
      <w:r>
        <w:rPr>
          <w:rStyle w:val="13"/>
        </w:rPr>
        <w:instrText xml:space="preserve"> </w:instrText>
      </w:r>
      <w:r>
        <w:rPr>
          <w:rStyle w:val="13"/>
        </w:rPr>
        <w:fldChar w:fldCharType="separate"/>
      </w:r>
      <w:r>
        <w:rPr>
          <w:rStyle w:val="13"/>
        </w:rPr>
        <w:t>6.3</w:t>
      </w:r>
      <w:r>
        <w:rPr>
          <w:rStyle w:val="13"/>
          <w:rFonts w:hint="eastAsia"/>
        </w:rPr>
        <w:t>预警发布和解除</w:t>
      </w:r>
      <w:r>
        <w:tab/>
      </w:r>
      <w:r>
        <w:fldChar w:fldCharType="begin"/>
      </w:r>
      <w:r>
        <w:instrText xml:space="preserve"> PAGEREF _Toc120195388 \h </w:instrText>
      </w:r>
      <w:r>
        <w:fldChar w:fldCharType="separate"/>
      </w:r>
      <w:r>
        <w:t>33</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"_Toc120195389"</w:instrText>
      </w:r>
      <w:r>
        <w:rPr>
          <w:rStyle w:val="13"/>
        </w:rPr>
        <w:instrText xml:space="preserve"> </w:instrText>
      </w:r>
      <w:r>
        <w:rPr>
          <w:rStyle w:val="13"/>
        </w:rPr>
        <w:fldChar w:fldCharType="separate"/>
      </w:r>
      <w:r>
        <w:rPr>
          <w:rStyle w:val="13"/>
        </w:rPr>
        <w:t>6.4</w:t>
      </w:r>
      <w:r>
        <w:rPr>
          <w:rStyle w:val="13"/>
          <w:rFonts w:hint="eastAsia"/>
        </w:rPr>
        <w:t>及时有效的报警方式</w:t>
      </w:r>
      <w:r>
        <w:tab/>
      </w:r>
      <w:r>
        <w:fldChar w:fldCharType="begin"/>
      </w:r>
      <w:r>
        <w:instrText xml:space="preserve"> PAGEREF _Toc120195389 \h </w:instrText>
      </w:r>
      <w:r>
        <w:fldChar w:fldCharType="separate"/>
      </w:r>
      <w:r>
        <w:t>35</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"_Toc120195390"</w:instrText>
      </w:r>
      <w:r>
        <w:rPr>
          <w:rStyle w:val="13"/>
        </w:rPr>
        <w:instrText xml:space="preserve"> </w:instrText>
      </w:r>
      <w:r>
        <w:rPr>
          <w:rStyle w:val="13"/>
        </w:rPr>
        <w:fldChar w:fldCharType="separate"/>
      </w:r>
      <w:r>
        <w:rPr>
          <w:rStyle w:val="13"/>
        </w:rPr>
        <w:t>6.5</w:t>
      </w:r>
      <w:r>
        <w:rPr>
          <w:rStyle w:val="13"/>
          <w:rFonts w:hint="eastAsia"/>
        </w:rPr>
        <w:t>信息报告与处理</w:t>
      </w:r>
      <w:r>
        <w:tab/>
      </w:r>
      <w:r>
        <w:fldChar w:fldCharType="begin"/>
      </w:r>
      <w:r>
        <w:instrText xml:space="preserve"> PAGEREF _Toc120195390 \h </w:instrText>
      </w:r>
      <w:r>
        <w:fldChar w:fldCharType="separate"/>
      </w:r>
      <w:r>
        <w:t>35</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"_Toc120195391"</w:instrText>
      </w:r>
      <w:r>
        <w:rPr>
          <w:rStyle w:val="13"/>
        </w:rPr>
        <w:instrText xml:space="preserve"> </w:instrText>
      </w:r>
      <w:r>
        <w:rPr>
          <w:rStyle w:val="13"/>
        </w:rPr>
        <w:fldChar w:fldCharType="separate"/>
      </w:r>
      <w:r>
        <w:rPr>
          <w:rStyle w:val="13"/>
        </w:rPr>
        <w:t>7</w:t>
      </w:r>
      <w:r>
        <w:rPr>
          <w:rStyle w:val="13"/>
          <w:rFonts w:hint="eastAsia"/>
        </w:rPr>
        <w:t>应急响应与措施</w:t>
      </w:r>
      <w:r>
        <w:tab/>
      </w:r>
      <w:r>
        <w:fldChar w:fldCharType="begin"/>
      </w:r>
      <w:r>
        <w:instrText xml:space="preserve"> PAGEREF _Toc120195391 \h </w:instrText>
      </w:r>
      <w:r>
        <w:fldChar w:fldCharType="separate"/>
      </w:r>
      <w:r>
        <w:t>39</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"_Toc120195392"</w:instrText>
      </w:r>
      <w:r>
        <w:rPr>
          <w:rStyle w:val="13"/>
        </w:rPr>
        <w:instrText xml:space="preserve"> </w:instrText>
      </w:r>
      <w:r>
        <w:rPr>
          <w:rStyle w:val="13"/>
        </w:rPr>
        <w:fldChar w:fldCharType="separate"/>
      </w:r>
      <w:r>
        <w:rPr>
          <w:rStyle w:val="13"/>
        </w:rPr>
        <w:t>7.1</w:t>
      </w:r>
      <w:r>
        <w:rPr>
          <w:rStyle w:val="13"/>
          <w:rFonts w:hint="eastAsia"/>
        </w:rPr>
        <w:t>分级响应机制</w:t>
      </w:r>
      <w:r>
        <w:tab/>
      </w:r>
      <w:r>
        <w:fldChar w:fldCharType="begin"/>
      </w:r>
      <w:r>
        <w:instrText xml:space="preserve"> PAGEREF _Toc120195392 \h </w:instrText>
      </w:r>
      <w:r>
        <w:fldChar w:fldCharType="separate"/>
      </w:r>
      <w:r>
        <w:t>39</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"_Toc120195393"</w:instrText>
      </w:r>
      <w:r>
        <w:rPr>
          <w:rStyle w:val="13"/>
        </w:rPr>
        <w:instrText xml:space="preserve"> </w:instrText>
      </w:r>
      <w:r>
        <w:rPr>
          <w:rStyle w:val="13"/>
        </w:rPr>
        <w:fldChar w:fldCharType="separate"/>
      </w:r>
      <w:r>
        <w:rPr>
          <w:rStyle w:val="13"/>
        </w:rPr>
        <w:t>7.2</w:t>
      </w:r>
      <w:r>
        <w:rPr>
          <w:rStyle w:val="13"/>
          <w:rFonts w:hint="eastAsia"/>
        </w:rPr>
        <w:t>现场应急措施</w:t>
      </w:r>
      <w:r>
        <w:tab/>
      </w:r>
      <w:r>
        <w:fldChar w:fldCharType="begin"/>
      </w:r>
      <w:r>
        <w:instrText xml:space="preserve"> PAGEREF _Toc120195393 \h </w:instrText>
      </w:r>
      <w:r>
        <w:fldChar w:fldCharType="separate"/>
      </w:r>
      <w:r>
        <w:t>44</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"_Toc120195394"</w:instrText>
      </w:r>
      <w:r>
        <w:rPr>
          <w:rStyle w:val="13"/>
        </w:rPr>
        <w:instrText xml:space="preserve"> </w:instrText>
      </w:r>
      <w:r>
        <w:rPr>
          <w:rStyle w:val="13"/>
        </w:rPr>
        <w:fldChar w:fldCharType="separate"/>
      </w:r>
      <w:r>
        <w:rPr>
          <w:rStyle w:val="13"/>
        </w:rPr>
        <w:t>7.3</w:t>
      </w:r>
      <w:r>
        <w:rPr>
          <w:rStyle w:val="13"/>
          <w:rFonts w:hint="eastAsia"/>
        </w:rPr>
        <w:t>应急设施（设备）及应急物资的启用程序</w:t>
      </w:r>
      <w:r>
        <w:tab/>
      </w:r>
      <w:r>
        <w:fldChar w:fldCharType="begin"/>
      </w:r>
      <w:r>
        <w:instrText xml:space="preserve"> PAGEREF _Toc120195394 \h </w:instrText>
      </w:r>
      <w:r>
        <w:fldChar w:fldCharType="separate"/>
      </w:r>
      <w:r>
        <w:t>45</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"_Toc120195395"</w:instrText>
      </w:r>
      <w:r>
        <w:rPr>
          <w:rStyle w:val="13"/>
        </w:rPr>
        <w:instrText xml:space="preserve"> </w:instrText>
      </w:r>
      <w:r>
        <w:rPr>
          <w:rStyle w:val="13"/>
        </w:rPr>
        <w:fldChar w:fldCharType="separate"/>
      </w:r>
      <w:r>
        <w:rPr>
          <w:rStyle w:val="13"/>
        </w:rPr>
        <w:t>7.4</w:t>
      </w:r>
      <w:r>
        <w:rPr>
          <w:rStyle w:val="13"/>
          <w:rFonts w:hint="eastAsia"/>
        </w:rPr>
        <w:t>抢险、处置及控制措施</w:t>
      </w:r>
      <w:r>
        <w:tab/>
      </w:r>
      <w:r>
        <w:fldChar w:fldCharType="begin"/>
      </w:r>
      <w:r>
        <w:instrText xml:space="preserve"> PAGEREF _Toc120195395 \h </w:instrText>
      </w:r>
      <w:r>
        <w:fldChar w:fldCharType="separate"/>
      </w:r>
      <w:r>
        <w:t>46</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"_Toc120195396"</w:instrText>
      </w:r>
      <w:r>
        <w:rPr>
          <w:rStyle w:val="13"/>
        </w:rPr>
        <w:instrText xml:space="preserve"> </w:instrText>
      </w:r>
      <w:r>
        <w:rPr>
          <w:rStyle w:val="13"/>
        </w:rPr>
        <w:fldChar w:fldCharType="separate"/>
      </w:r>
      <w:r>
        <w:rPr>
          <w:rStyle w:val="13"/>
        </w:rPr>
        <w:t>7.5</w:t>
      </w:r>
      <w:r>
        <w:rPr>
          <w:rStyle w:val="13"/>
          <w:rFonts w:hint="eastAsia"/>
        </w:rPr>
        <w:t>应急</w:t>
      </w:r>
      <w:bookmarkStart w:id="0" w:name="_Hlt120195474"/>
      <w:r>
        <w:rPr>
          <w:rStyle w:val="13"/>
          <w:rFonts w:hint="eastAsia"/>
        </w:rPr>
        <w:t>监</w:t>
      </w:r>
      <w:bookmarkEnd w:id="0"/>
      <w:r>
        <w:rPr>
          <w:rStyle w:val="13"/>
          <w:rFonts w:hint="eastAsia"/>
        </w:rPr>
        <w:t>测</w:t>
      </w:r>
      <w:r>
        <w:tab/>
      </w:r>
      <w:r>
        <w:fldChar w:fldCharType="begin"/>
      </w:r>
      <w:r>
        <w:instrText xml:space="preserve"> PAGEREF _Toc120195396 \h </w:instrText>
      </w:r>
      <w:r>
        <w:fldChar w:fldCharType="separate"/>
      </w:r>
      <w:r>
        <w:t>52</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"_Toc120195397"</w:instrText>
      </w:r>
      <w:r>
        <w:rPr>
          <w:rStyle w:val="13"/>
        </w:rPr>
        <w:instrText xml:space="preserve"> </w:instrText>
      </w:r>
      <w:r>
        <w:rPr>
          <w:rStyle w:val="13"/>
        </w:rPr>
        <w:fldChar w:fldCharType="separate"/>
      </w:r>
      <w:r>
        <w:rPr>
          <w:rStyle w:val="13"/>
        </w:rPr>
        <w:t>7.6</w:t>
      </w:r>
      <w:r>
        <w:rPr>
          <w:rStyle w:val="13"/>
          <w:rFonts w:hint="eastAsia"/>
        </w:rPr>
        <w:t>应急终止</w:t>
      </w:r>
      <w:r>
        <w:tab/>
      </w:r>
      <w:r>
        <w:fldChar w:fldCharType="begin"/>
      </w:r>
      <w:r>
        <w:instrText xml:space="preserve"> PAGEREF _Toc120195397 \h </w:instrText>
      </w:r>
      <w:r>
        <w:fldChar w:fldCharType="separate"/>
      </w:r>
      <w:r>
        <w:t>53</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"_Toc120195398"</w:instrText>
      </w:r>
      <w:r>
        <w:rPr>
          <w:rStyle w:val="13"/>
        </w:rPr>
        <w:instrText xml:space="preserve"> </w:instrText>
      </w:r>
      <w:r>
        <w:rPr>
          <w:rStyle w:val="13"/>
        </w:rPr>
        <w:fldChar w:fldCharType="separate"/>
      </w:r>
      <w:r>
        <w:rPr>
          <w:rStyle w:val="13"/>
        </w:rPr>
        <w:t>8</w:t>
      </w:r>
      <w:r>
        <w:rPr>
          <w:rStyle w:val="13"/>
          <w:rFonts w:hint="eastAsia"/>
        </w:rPr>
        <w:t>后期处置</w:t>
      </w:r>
      <w:r>
        <w:tab/>
      </w:r>
      <w:r>
        <w:fldChar w:fldCharType="begin"/>
      </w:r>
      <w:r>
        <w:instrText xml:space="preserve"> PAGEREF _Toc120195398 \h </w:instrText>
      </w:r>
      <w:r>
        <w:fldChar w:fldCharType="separate"/>
      </w:r>
      <w:r>
        <w:t>57</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"_Toc120195399"</w:instrText>
      </w:r>
      <w:r>
        <w:rPr>
          <w:rStyle w:val="13"/>
        </w:rPr>
        <w:instrText xml:space="preserve"> </w:instrText>
      </w:r>
      <w:r>
        <w:rPr>
          <w:rStyle w:val="13"/>
        </w:rPr>
        <w:fldChar w:fldCharType="separate"/>
      </w:r>
      <w:r>
        <w:rPr>
          <w:rStyle w:val="13"/>
        </w:rPr>
        <w:t>8.1</w:t>
      </w:r>
      <w:r>
        <w:rPr>
          <w:rStyle w:val="13"/>
          <w:rFonts w:hint="eastAsia"/>
        </w:rPr>
        <w:t>现场恢复</w:t>
      </w:r>
      <w:r>
        <w:tab/>
      </w:r>
      <w:r>
        <w:fldChar w:fldCharType="begin"/>
      </w:r>
      <w:r>
        <w:instrText xml:space="preserve"> PAGEREF _Toc120195399 \h </w:instrText>
      </w:r>
      <w:r>
        <w:fldChar w:fldCharType="separate"/>
      </w:r>
      <w:r>
        <w:t>57</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"_Toc120195400"</w:instrText>
      </w:r>
      <w:r>
        <w:rPr>
          <w:rStyle w:val="13"/>
        </w:rPr>
        <w:instrText xml:space="preserve"> </w:instrText>
      </w:r>
      <w:r>
        <w:rPr>
          <w:rStyle w:val="13"/>
        </w:rPr>
        <w:fldChar w:fldCharType="separate"/>
      </w:r>
      <w:r>
        <w:rPr>
          <w:rStyle w:val="13"/>
        </w:rPr>
        <w:t>8.1.1</w:t>
      </w:r>
      <w:r>
        <w:rPr>
          <w:rStyle w:val="13"/>
          <w:rFonts w:hint="eastAsia"/>
        </w:rPr>
        <w:t>事件现场的保护措施</w:t>
      </w:r>
      <w:r>
        <w:tab/>
      </w:r>
      <w:r>
        <w:fldChar w:fldCharType="begin"/>
      </w:r>
      <w:r>
        <w:instrText xml:space="preserve"> PAGEREF _Toc120195400 \h </w:instrText>
      </w:r>
      <w:r>
        <w:fldChar w:fldCharType="separate"/>
      </w:r>
      <w:r>
        <w:t>57</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"_Toc120195401"</w:instrText>
      </w:r>
      <w:r>
        <w:rPr>
          <w:rStyle w:val="13"/>
        </w:rPr>
        <w:instrText xml:space="preserve"> </w:instrText>
      </w:r>
      <w:r>
        <w:rPr>
          <w:rStyle w:val="13"/>
        </w:rPr>
        <w:fldChar w:fldCharType="separate"/>
      </w:r>
      <w:r>
        <w:rPr>
          <w:rStyle w:val="13"/>
        </w:rPr>
        <w:t>8.1.2</w:t>
      </w:r>
      <w:r>
        <w:rPr>
          <w:rStyle w:val="13"/>
          <w:rFonts w:hint="eastAsia"/>
        </w:rPr>
        <w:t>确定现场净化方式、方法</w:t>
      </w:r>
      <w:r>
        <w:tab/>
      </w:r>
      <w:r>
        <w:fldChar w:fldCharType="begin"/>
      </w:r>
      <w:r>
        <w:instrText xml:space="preserve"> PAGEREF _Toc120195401 \h </w:instrText>
      </w:r>
      <w:r>
        <w:fldChar w:fldCharType="separate"/>
      </w:r>
      <w:r>
        <w:t>57</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"_Toc120195402"</w:instrText>
      </w:r>
      <w:r>
        <w:rPr>
          <w:rStyle w:val="13"/>
        </w:rPr>
        <w:instrText xml:space="preserve"> </w:instrText>
      </w:r>
      <w:r>
        <w:rPr>
          <w:rStyle w:val="13"/>
        </w:rPr>
        <w:fldChar w:fldCharType="separate"/>
      </w:r>
      <w:r>
        <w:rPr>
          <w:rStyle w:val="13"/>
        </w:rPr>
        <w:t>8.1.2.1</w:t>
      </w:r>
      <w:r>
        <w:rPr>
          <w:rStyle w:val="13"/>
          <w:rFonts w:hint="eastAsia"/>
        </w:rPr>
        <w:t>中和</w:t>
      </w:r>
      <w:r>
        <w:tab/>
      </w:r>
      <w:r>
        <w:fldChar w:fldCharType="begin"/>
      </w:r>
      <w:r>
        <w:instrText xml:space="preserve"> PAGEREF _Toc120195402 \h </w:instrText>
      </w:r>
      <w:r>
        <w:fldChar w:fldCharType="separate"/>
      </w:r>
      <w:r>
        <w:t>57</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"_Toc120195403"</w:instrText>
      </w:r>
      <w:r>
        <w:rPr>
          <w:rStyle w:val="13"/>
        </w:rPr>
        <w:instrText xml:space="preserve"> </w:instrText>
      </w:r>
      <w:r>
        <w:rPr>
          <w:rStyle w:val="13"/>
        </w:rPr>
        <w:fldChar w:fldCharType="separate"/>
      </w:r>
      <w:r>
        <w:rPr>
          <w:rStyle w:val="13"/>
        </w:rPr>
        <w:t>8.1.2.2</w:t>
      </w:r>
      <w:r>
        <w:rPr>
          <w:rStyle w:val="13"/>
          <w:rFonts w:hint="eastAsia"/>
        </w:rPr>
        <w:t>洗消</w:t>
      </w:r>
      <w:r>
        <w:tab/>
      </w:r>
      <w:r>
        <w:fldChar w:fldCharType="begin"/>
      </w:r>
      <w:r>
        <w:instrText xml:space="preserve"> PAGEREF _Toc120195403 \h </w:instrText>
      </w:r>
      <w:r>
        <w:fldChar w:fldCharType="separate"/>
      </w:r>
      <w:r>
        <w:t>58</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"_Toc120195404"</w:instrText>
      </w:r>
      <w:r>
        <w:rPr>
          <w:rStyle w:val="13"/>
        </w:rPr>
        <w:instrText xml:space="preserve"> </w:instrText>
      </w:r>
      <w:r>
        <w:rPr>
          <w:rStyle w:val="13"/>
        </w:rPr>
        <w:fldChar w:fldCharType="separate"/>
      </w:r>
      <w:r>
        <w:rPr>
          <w:rStyle w:val="13"/>
        </w:rPr>
        <w:t>8.1.2.3</w:t>
      </w:r>
      <w:r>
        <w:rPr>
          <w:rStyle w:val="13"/>
          <w:rFonts w:hint="eastAsia"/>
        </w:rPr>
        <w:t>净化</w:t>
      </w:r>
      <w:r>
        <w:tab/>
      </w:r>
      <w:r>
        <w:fldChar w:fldCharType="begin"/>
      </w:r>
      <w:r>
        <w:instrText xml:space="preserve"> PAGEREF _Toc120195404 \h </w:instrText>
      </w:r>
      <w:r>
        <w:fldChar w:fldCharType="separate"/>
      </w:r>
      <w:r>
        <w:t>58</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"_Toc120195405"</w:instrText>
      </w:r>
      <w:r>
        <w:rPr>
          <w:rStyle w:val="13"/>
        </w:rPr>
        <w:instrText xml:space="preserve"> </w:instrText>
      </w:r>
      <w:r>
        <w:rPr>
          <w:rStyle w:val="13"/>
        </w:rPr>
        <w:fldChar w:fldCharType="separate"/>
      </w:r>
      <w:r>
        <w:rPr>
          <w:rStyle w:val="13"/>
        </w:rPr>
        <w:t>8.1.3</w:t>
      </w:r>
      <w:r>
        <w:rPr>
          <w:rStyle w:val="13"/>
          <w:rFonts w:hint="eastAsia"/>
        </w:rPr>
        <w:t>明确事件现场洗消工作的负责人和专业队伍</w:t>
      </w:r>
      <w:r>
        <w:tab/>
      </w:r>
      <w:r>
        <w:fldChar w:fldCharType="begin"/>
      </w:r>
      <w:r>
        <w:instrText xml:space="preserve"> PAGEREF _Toc120195405 \h </w:instrText>
      </w:r>
      <w:r>
        <w:fldChar w:fldCharType="separate"/>
      </w:r>
      <w:r>
        <w:t>59</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"_Toc120195406"</w:instrText>
      </w:r>
      <w:r>
        <w:rPr>
          <w:rStyle w:val="13"/>
        </w:rPr>
        <w:instrText xml:space="preserve"> </w:instrText>
      </w:r>
      <w:r>
        <w:rPr>
          <w:rStyle w:val="13"/>
        </w:rPr>
        <w:fldChar w:fldCharType="separate"/>
      </w:r>
      <w:r>
        <w:rPr>
          <w:rStyle w:val="13"/>
        </w:rPr>
        <w:t xml:space="preserve">8.1.4 </w:t>
      </w:r>
      <w:r>
        <w:rPr>
          <w:rStyle w:val="13"/>
          <w:rFonts w:hint="eastAsia"/>
        </w:rPr>
        <w:t>洗消后的二次污染的防治方案及处置措施</w:t>
      </w:r>
      <w:r>
        <w:tab/>
      </w:r>
      <w:r>
        <w:fldChar w:fldCharType="begin"/>
      </w:r>
      <w:r>
        <w:instrText xml:space="preserve"> PAGEREF _Toc120195406 \h </w:instrText>
      </w:r>
      <w:r>
        <w:fldChar w:fldCharType="separate"/>
      </w:r>
      <w:r>
        <w:t>59</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"_Toc120195407"</w:instrText>
      </w:r>
      <w:r>
        <w:rPr>
          <w:rStyle w:val="13"/>
        </w:rPr>
        <w:instrText xml:space="preserve"> </w:instrText>
      </w:r>
      <w:r>
        <w:rPr>
          <w:rStyle w:val="13"/>
        </w:rPr>
        <w:fldChar w:fldCharType="separate"/>
      </w:r>
      <w:r>
        <w:rPr>
          <w:rStyle w:val="13"/>
        </w:rPr>
        <w:t>8.2</w:t>
      </w:r>
      <w:r>
        <w:rPr>
          <w:rStyle w:val="13"/>
          <w:rFonts w:hint="eastAsia"/>
        </w:rPr>
        <w:t>环境恢复</w:t>
      </w:r>
      <w:r>
        <w:tab/>
      </w:r>
      <w:r>
        <w:fldChar w:fldCharType="begin"/>
      </w:r>
      <w:r>
        <w:instrText xml:space="preserve"> PAGEREF _Toc120195407 \h </w:instrText>
      </w:r>
      <w:r>
        <w:fldChar w:fldCharType="separate"/>
      </w:r>
      <w:r>
        <w:t>60</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"_Toc120195408"</w:instrText>
      </w:r>
      <w:r>
        <w:rPr>
          <w:rStyle w:val="13"/>
        </w:rPr>
        <w:instrText xml:space="preserve"> </w:instrText>
      </w:r>
      <w:r>
        <w:rPr>
          <w:rStyle w:val="13"/>
        </w:rPr>
        <w:fldChar w:fldCharType="separate"/>
      </w:r>
      <w:r>
        <w:rPr>
          <w:rStyle w:val="13"/>
        </w:rPr>
        <w:t>8.3</w:t>
      </w:r>
      <w:r>
        <w:rPr>
          <w:rStyle w:val="13"/>
          <w:rFonts w:hint="eastAsia"/>
        </w:rPr>
        <w:t>善后赔偿</w:t>
      </w:r>
      <w:r>
        <w:tab/>
      </w:r>
      <w:r>
        <w:fldChar w:fldCharType="begin"/>
      </w:r>
      <w:r>
        <w:instrText xml:space="preserve"> PAGEREF _Toc120195408 \h </w:instrText>
      </w:r>
      <w:r>
        <w:fldChar w:fldCharType="separate"/>
      </w:r>
      <w:r>
        <w:t>60</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"_Toc120195409"</w:instrText>
      </w:r>
      <w:r>
        <w:rPr>
          <w:rStyle w:val="13"/>
        </w:rPr>
        <w:instrText xml:space="preserve"> </w:instrText>
      </w:r>
      <w:r>
        <w:rPr>
          <w:rStyle w:val="13"/>
        </w:rPr>
        <w:fldChar w:fldCharType="separate"/>
      </w:r>
      <w:r>
        <w:rPr>
          <w:rStyle w:val="13"/>
        </w:rPr>
        <w:t>8.3.1</w:t>
      </w:r>
      <w:r>
        <w:rPr>
          <w:rStyle w:val="13"/>
          <w:rFonts w:hint="eastAsia"/>
        </w:rPr>
        <w:t>善后处置</w:t>
      </w:r>
      <w:r>
        <w:tab/>
      </w:r>
      <w:r>
        <w:fldChar w:fldCharType="begin"/>
      </w:r>
      <w:r>
        <w:instrText xml:space="preserve"> PAGEREF _Toc120195409 \h </w:instrText>
      </w:r>
      <w:r>
        <w:fldChar w:fldCharType="separate"/>
      </w:r>
      <w:r>
        <w:t>60</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"_Toc120195410"</w:instrText>
      </w:r>
      <w:r>
        <w:rPr>
          <w:rStyle w:val="13"/>
        </w:rPr>
        <w:instrText xml:space="preserve"> </w:instrText>
      </w:r>
      <w:r>
        <w:rPr>
          <w:rStyle w:val="13"/>
        </w:rPr>
        <w:fldChar w:fldCharType="separate"/>
      </w:r>
      <w:r>
        <w:rPr>
          <w:rStyle w:val="13"/>
        </w:rPr>
        <w:t>8.3.2</w:t>
      </w:r>
      <w:r>
        <w:rPr>
          <w:rStyle w:val="13"/>
          <w:rFonts w:hint="eastAsia"/>
        </w:rPr>
        <w:t>保险</w:t>
      </w:r>
      <w:r>
        <w:tab/>
      </w:r>
      <w:r>
        <w:fldChar w:fldCharType="begin"/>
      </w:r>
      <w:r>
        <w:instrText xml:space="preserve"> PAGEREF _Toc120195410 \h </w:instrText>
      </w:r>
      <w:r>
        <w:fldChar w:fldCharType="separate"/>
      </w:r>
      <w:r>
        <w:t>61</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"_Toc120195411"</w:instrText>
      </w:r>
      <w:r>
        <w:rPr>
          <w:rStyle w:val="13"/>
        </w:rPr>
        <w:instrText xml:space="preserve"> </w:instrText>
      </w:r>
      <w:r>
        <w:rPr>
          <w:rStyle w:val="13"/>
        </w:rPr>
        <w:fldChar w:fldCharType="separate"/>
      </w:r>
      <w:r>
        <w:rPr>
          <w:rStyle w:val="13"/>
        </w:rPr>
        <w:t>9</w:t>
      </w:r>
      <w:r>
        <w:rPr>
          <w:rStyle w:val="13"/>
          <w:rFonts w:hint="eastAsia"/>
        </w:rPr>
        <w:t>应急培训与演练</w:t>
      </w:r>
      <w:r>
        <w:tab/>
      </w:r>
      <w:r>
        <w:fldChar w:fldCharType="begin"/>
      </w:r>
      <w:r>
        <w:instrText xml:space="preserve"> PAGEREF _Toc120195411 \h </w:instrText>
      </w:r>
      <w:r>
        <w:fldChar w:fldCharType="separate"/>
      </w:r>
      <w:r>
        <w:t>62</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"_Toc120195412"</w:instrText>
      </w:r>
      <w:r>
        <w:rPr>
          <w:rStyle w:val="13"/>
        </w:rPr>
        <w:instrText xml:space="preserve"> </w:instrText>
      </w:r>
      <w:r>
        <w:rPr>
          <w:rStyle w:val="13"/>
        </w:rPr>
        <w:fldChar w:fldCharType="separate"/>
      </w:r>
      <w:r>
        <w:rPr>
          <w:rStyle w:val="13"/>
        </w:rPr>
        <w:t>9.1</w:t>
      </w:r>
      <w:r>
        <w:rPr>
          <w:rStyle w:val="13"/>
          <w:rFonts w:hint="eastAsia"/>
        </w:rPr>
        <w:t>应急培训</w:t>
      </w:r>
      <w:r>
        <w:tab/>
      </w:r>
      <w:r>
        <w:fldChar w:fldCharType="begin"/>
      </w:r>
      <w:r>
        <w:instrText xml:space="preserve"> PAGEREF _Toc120195412 \h </w:instrText>
      </w:r>
      <w:r>
        <w:fldChar w:fldCharType="separate"/>
      </w:r>
      <w:r>
        <w:t>62</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"_Toc120195413"</w:instrText>
      </w:r>
      <w:r>
        <w:rPr>
          <w:rStyle w:val="13"/>
        </w:rPr>
        <w:instrText xml:space="preserve"> </w:instrText>
      </w:r>
      <w:r>
        <w:rPr>
          <w:rStyle w:val="13"/>
        </w:rPr>
        <w:fldChar w:fldCharType="separate"/>
      </w:r>
      <w:r>
        <w:rPr>
          <w:rStyle w:val="13"/>
        </w:rPr>
        <w:t>9.2</w:t>
      </w:r>
      <w:r>
        <w:rPr>
          <w:rStyle w:val="13"/>
          <w:rFonts w:hint="eastAsia"/>
        </w:rPr>
        <w:t>演练</w:t>
      </w:r>
      <w:r>
        <w:tab/>
      </w:r>
      <w:r>
        <w:fldChar w:fldCharType="begin"/>
      </w:r>
      <w:r>
        <w:instrText xml:space="preserve"> PAGEREF _Toc120195413 \h </w:instrText>
      </w:r>
      <w:r>
        <w:fldChar w:fldCharType="separate"/>
      </w:r>
      <w:r>
        <w:t>63</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"_Toc120195414"</w:instrText>
      </w:r>
      <w:r>
        <w:rPr>
          <w:rStyle w:val="13"/>
        </w:rPr>
        <w:instrText xml:space="preserve"> </w:instrText>
      </w:r>
      <w:r>
        <w:rPr>
          <w:rStyle w:val="13"/>
        </w:rPr>
        <w:fldChar w:fldCharType="separate"/>
      </w:r>
      <w:r>
        <w:rPr>
          <w:rStyle w:val="13"/>
        </w:rPr>
        <w:t>10</w:t>
      </w:r>
      <w:r>
        <w:rPr>
          <w:rStyle w:val="13"/>
          <w:rFonts w:hint="eastAsia"/>
        </w:rPr>
        <w:t>奖惩</w:t>
      </w:r>
      <w:r>
        <w:tab/>
      </w:r>
      <w:r>
        <w:fldChar w:fldCharType="begin"/>
      </w:r>
      <w:r>
        <w:instrText xml:space="preserve"> PAGEREF _Toc120195414 \h </w:instrText>
      </w:r>
      <w:r>
        <w:fldChar w:fldCharType="separate"/>
      </w:r>
      <w:r>
        <w:t>65</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"_Toc120195415"</w:instrText>
      </w:r>
      <w:r>
        <w:rPr>
          <w:rStyle w:val="13"/>
        </w:rPr>
        <w:instrText xml:space="preserve"> </w:instrText>
      </w:r>
      <w:r>
        <w:rPr>
          <w:rStyle w:val="13"/>
        </w:rPr>
        <w:fldChar w:fldCharType="separate"/>
      </w:r>
      <w:r>
        <w:rPr>
          <w:rStyle w:val="13"/>
        </w:rPr>
        <w:t xml:space="preserve">10.1 </w:t>
      </w:r>
      <w:r>
        <w:rPr>
          <w:rStyle w:val="13"/>
          <w:rFonts w:hint="eastAsia"/>
        </w:rPr>
        <w:t>奖励</w:t>
      </w:r>
      <w:r>
        <w:tab/>
      </w:r>
      <w:r>
        <w:fldChar w:fldCharType="begin"/>
      </w:r>
      <w:r>
        <w:instrText xml:space="preserve"> PAGEREF _Toc120195415 \h </w:instrText>
      </w:r>
      <w:r>
        <w:fldChar w:fldCharType="separate"/>
      </w:r>
      <w:r>
        <w:t>65</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"_Toc120195416"</w:instrText>
      </w:r>
      <w:r>
        <w:rPr>
          <w:rStyle w:val="13"/>
        </w:rPr>
        <w:instrText xml:space="preserve"> </w:instrText>
      </w:r>
      <w:r>
        <w:rPr>
          <w:rStyle w:val="13"/>
        </w:rPr>
        <w:fldChar w:fldCharType="separate"/>
      </w:r>
      <w:r>
        <w:rPr>
          <w:rStyle w:val="13"/>
        </w:rPr>
        <w:t xml:space="preserve">10.2 </w:t>
      </w:r>
      <w:r>
        <w:rPr>
          <w:rStyle w:val="13"/>
          <w:rFonts w:hint="eastAsia"/>
        </w:rPr>
        <w:t>责任追究</w:t>
      </w:r>
      <w:r>
        <w:tab/>
      </w:r>
      <w:r>
        <w:fldChar w:fldCharType="begin"/>
      </w:r>
      <w:r>
        <w:instrText xml:space="preserve"> PAGEREF _Toc120195416 \h </w:instrText>
      </w:r>
      <w:r>
        <w:fldChar w:fldCharType="separate"/>
      </w:r>
      <w:r>
        <w:t>65</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"_Toc120195417"</w:instrText>
      </w:r>
      <w:r>
        <w:rPr>
          <w:rStyle w:val="13"/>
        </w:rPr>
        <w:instrText xml:space="preserve"> </w:instrText>
      </w:r>
      <w:r>
        <w:rPr>
          <w:rStyle w:val="13"/>
        </w:rPr>
        <w:fldChar w:fldCharType="separate"/>
      </w:r>
      <w:r>
        <w:rPr>
          <w:rStyle w:val="13"/>
        </w:rPr>
        <w:t>11</w:t>
      </w:r>
      <w:r>
        <w:rPr>
          <w:rStyle w:val="13"/>
          <w:rFonts w:hint="eastAsia"/>
        </w:rPr>
        <w:t>预案的评审、发布和更新</w:t>
      </w:r>
      <w:r>
        <w:tab/>
      </w:r>
      <w:r>
        <w:fldChar w:fldCharType="begin"/>
      </w:r>
      <w:r>
        <w:instrText xml:space="preserve"> PAGEREF _Toc120195417 \h </w:instrText>
      </w:r>
      <w:r>
        <w:fldChar w:fldCharType="separate"/>
      </w:r>
      <w:r>
        <w:t>66</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"_Toc120195418"</w:instrText>
      </w:r>
      <w:r>
        <w:rPr>
          <w:rStyle w:val="13"/>
        </w:rPr>
        <w:instrText xml:space="preserve"> </w:instrText>
      </w:r>
      <w:r>
        <w:rPr>
          <w:rStyle w:val="13"/>
        </w:rPr>
        <w:fldChar w:fldCharType="separate"/>
      </w:r>
      <w:r>
        <w:rPr>
          <w:rStyle w:val="13"/>
        </w:rPr>
        <w:t>11.1</w:t>
      </w:r>
      <w:r>
        <w:rPr>
          <w:rStyle w:val="13"/>
          <w:rFonts w:hint="eastAsia"/>
        </w:rPr>
        <w:t>预案的评审</w:t>
      </w:r>
      <w:r>
        <w:tab/>
      </w:r>
      <w:r>
        <w:fldChar w:fldCharType="begin"/>
      </w:r>
      <w:r>
        <w:instrText xml:space="preserve"> PAGEREF _Toc120195418 \h </w:instrText>
      </w:r>
      <w:r>
        <w:fldChar w:fldCharType="separate"/>
      </w:r>
      <w:r>
        <w:t>66</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"_Toc120195419"</w:instrText>
      </w:r>
      <w:r>
        <w:rPr>
          <w:rStyle w:val="13"/>
        </w:rPr>
        <w:instrText xml:space="preserve"> </w:instrText>
      </w:r>
      <w:r>
        <w:rPr>
          <w:rStyle w:val="13"/>
        </w:rPr>
        <w:fldChar w:fldCharType="separate"/>
      </w:r>
      <w:r>
        <w:rPr>
          <w:rStyle w:val="13"/>
        </w:rPr>
        <w:t>11.2</w:t>
      </w:r>
      <w:r>
        <w:rPr>
          <w:rStyle w:val="13"/>
          <w:rFonts w:hint="eastAsia"/>
        </w:rPr>
        <w:t>预案的发布及更新</w:t>
      </w:r>
      <w:r>
        <w:tab/>
      </w:r>
      <w:r>
        <w:fldChar w:fldCharType="begin"/>
      </w:r>
      <w:r>
        <w:instrText xml:space="preserve"> PAGEREF _Toc120195419 \h </w:instrText>
      </w:r>
      <w:r>
        <w:fldChar w:fldCharType="separate"/>
      </w:r>
      <w:r>
        <w:t>66</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"_Toc120195420"</w:instrText>
      </w:r>
      <w:r>
        <w:rPr>
          <w:rStyle w:val="13"/>
        </w:rPr>
        <w:instrText xml:space="preserve"> </w:instrText>
      </w:r>
      <w:r>
        <w:rPr>
          <w:rStyle w:val="13"/>
        </w:rPr>
        <w:fldChar w:fldCharType="separate"/>
      </w:r>
      <w:r>
        <w:rPr>
          <w:rStyle w:val="13"/>
        </w:rPr>
        <w:t>11.3</w:t>
      </w:r>
      <w:r>
        <w:rPr>
          <w:rStyle w:val="13"/>
          <w:rFonts w:hint="eastAsia"/>
        </w:rPr>
        <w:t>抄送的部门、企业</w:t>
      </w:r>
      <w:r>
        <w:tab/>
      </w:r>
      <w:r>
        <w:fldChar w:fldCharType="begin"/>
      </w:r>
      <w:r>
        <w:instrText xml:space="preserve"> PAGEREF _Toc120195420 \h </w:instrText>
      </w:r>
      <w:r>
        <w:fldChar w:fldCharType="separate"/>
      </w:r>
      <w:r>
        <w:t>67</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"_Toc120195421"</w:instrText>
      </w:r>
      <w:r>
        <w:rPr>
          <w:rStyle w:val="13"/>
        </w:rPr>
        <w:instrText xml:space="preserve"> </w:instrText>
      </w:r>
      <w:r>
        <w:rPr>
          <w:rStyle w:val="13"/>
        </w:rPr>
        <w:fldChar w:fldCharType="separate"/>
      </w:r>
      <w:r>
        <w:rPr>
          <w:rStyle w:val="13"/>
        </w:rPr>
        <w:t>12</w:t>
      </w:r>
      <w:r>
        <w:rPr>
          <w:rStyle w:val="13"/>
          <w:rFonts w:hint="eastAsia"/>
        </w:rPr>
        <w:t>预案实施、生效的时间和更新要求</w:t>
      </w:r>
      <w:r>
        <w:tab/>
      </w:r>
      <w:r>
        <w:fldChar w:fldCharType="begin"/>
      </w:r>
      <w:r>
        <w:instrText xml:space="preserve"> PAGEREF _Toc120195421 \h </w:instrText>
      </w:r>
      <w:r>
        <w:fldChar w:fldCharType="separate"/>
      </w:r>
      <w:r>
        <w:t>68</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"_Toc120195422"</w:instrText>
      </w:r>
      <w:r>
        <w:rPr>
          <w:rStyle w:val="13"/>
        </w:rPr>
        <w:instrText xml:space="preserve"> </w:instrText>
      </w:r>
      <w:r>
        <w:rPr>
          <w:rStyle w:val="13"/>
        </w:rPr>
        <w:fldChar w:fldCharType="separate"/>
      </w:r>
      <w:r>
        <w:rPr>
          <w:rStyle w:val="13"/>
        </w:rPr>
        <w:t>12.1</w:t>
      </w:r>
      <w:r>
        <w:rPr>
          <w:rStyle w:val="13"/>
          <w:rFonts w:hint="eastAsia"/>
        </w:rPr>
        <w:t>预案的制定与解释</w:t>
      </w:r>
      <w:r>
        <w:tab/>
      </w:r>
      <w:r>
        <w:fldChar w:fldCharType="begin"/>
      </w:r>
      <w:r>
        <w:instrText xml:space="preserve"> PAGEREF _Toc120195422 \h </w:instrText>
      </w:r>
      <w:r>
        <w:fldChar w:fldCharType="separate"/>
      </w:r>
      <w:r>
        <w:t>68</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"_Toc120195423"</w:instrText>
      </w:r>
      <w:r>
        <w:rPr>
          <w:rStyle w:val="13"/>
        </w:rPr>
        <w:instrText xml:space="preserve"> </w:instrText>
      </w:r>
      <w:r>
        <w:rPr>
          <w:rStyle w:val="13"/>
        </w:rPr>
        <w:fldChar w:fldCharType="separate"/>
      </w:r>
      <w:r>
        <w:rPr>
          <w:rStyle w:val="13"/>
        </w:rPr>
        <w:t>12.2</w:t>
      </w:r>
      <w:r>
        <w:rPr>
          <w:rStyle w:val="13"/>
          <w:rFonts w:hint="eastAsia"/>
        </w:rPr>
        <w:t>实施及生效时间</w:t>
      </w:r>
      <w:r>
        <w:tab/>
      </w:r>
      <w:r>
        <w:fldChar w:fldCharType="begin"/>
      </w:r>
      <w:r>
        <w:instrText xml:space="preserve"> PAGEREF _Toc120195423 \h </w:instrText>
      </w:r>
      <w:r>
        <w:fldChar w:fldCharType="separate"/>
      </w:r>
      <w:r>
        <w:t>68</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"_Toc120195424"</w:instrText>
      </w:r>
      <w:r>
        <w:rPr>
          <w:rStyle w:val="13"/>
        </w:rPr>
        <w:instrText xml:space="preserve"> </w:instrText>
      </w:r>
      <w:r>
        <w:rPr>
          <w:rStyle w:val="13"/>
        </w:rPr>
        <w:fldChar w:fldCharType="separate"/>
      </w:r>
      <w:r>
        <w:rPr>
          <w:rStyle w:val="13"/>
        </w:rPr>
        <w:t>12.3</w:t>
      </w:r>
      <w:r>
        <w:rPr>
          <w:rStyle w:val="13"/>
          <w:rFonts w:hint="eastAsia"/>
        </w:rPr>
        <w:t>预案修订</w:t>
      </w:r>
      <w:r>
        <w:tab/>
      </w:r>
      <w:r>
        <w:fldChar w:fldCharType="begin"/>
      </w:r>
      <w:r>
        <w:instrText xml:space="preserve"> PAGEREF _Toc120195424 \h </w:instrText>
      </w:r>
      <w:r>
        <w:fldChar w:fldCharType="separate"/>
      </w:r>
      <w:r>
        <w:t>68</w:t>
      </w:r>
      <w:r>
        <w:fldChar w:fldCharType="end"/>
      </w:r>
      <w:r>
        <w:rPr>
          <w:rStyle w:val="13"/>
        </w:rPr>
        <w:fldChar w:fldCharType="end"/>
      </w:r>
    </w:p>
    <w:p>
      <w:pPr>
        <w:pStyle w:val="9"/>
        <w:rPr>
          <w:rFonts w:ascii="Calibri" w:hAnsi="Calibri" w:eastAsia="宋体"/>
          <w:sz w:val="21"/>
        </w:rPr>
      </w:pPr>
      <w:r>
        <w:rPr>
          <w:rStyle w:val="13"/>
        </w:rPr>
        <w:fldChar w:fldCharType="begin"/>
      </w:r>
      <w:r>
        <w:rPr>
          <w:rStyle w:val="13"/>
        </w:rPr>
        <w:instrText xml:space="preserve"> </w:instrText>
      </w:r>
      <w:r>
        <w:instrText xml:space="preserve">HYPERLINK \l "_Toc120195425"</w:instrText>
      </w:r>
      <w:r>
        <w:rPr>
          <w:rStyle w:val="13"/>
        </w:rPr>
        <w:instrText xml:space="preserve"> </w:instrText>
      </w:r>
      <w:r>
        <w:rPr>
          <w:rStyle w:val="13"/>
        </w:rPr>
        <w:fldChar w:fldCharType="separate"/>
      </w:r>
      <w:r>
        <w:rPr>
          <w:rStyle w:val="13"/>
        </w:rPr>
        <w:t xml:space="preserve">12.4 </w:t>
      </w:r>
      <w:r>
        <w:rPr>
          <w:rStyle w:val="13"/>
          <w:rFonts w:hint="eastAsia"/>
        </w:rPr>
        <w:t>预案的备案</w:t>
      </w:r>
      <w:r>
        <w:tab/>
      </w:r>
      <w:r>
        <w:fldChar w:fldCharType="begin"/>
      </w:r>
      <w:r>
        <w:instrText xml:space="preserve"> PAGEREF _Toc120195425 \h </w:instrText>
      </w:r>
      <w:r>
        <w:fldChar w:fldCharType="separate"/>
      </w:r>
      <w:r>
        <w:t>69</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"_Toc120195426"</w:instrText>
      </w:r>
      <w:r>
        <w:rPr>
          <w:rStyle w:val="13"/>
        </w:rPr>
        <w:instrText xml:space="preserve"> </w:instrText>
      </w:r>
      <w:r>
        <w:rPr>
          <w:rStyle w:val="13"/>
        </w:rPr>
        <w:fldChar w:fldCharType="separate"/>
      </w:r>
      <w:r>
        <w:rPr>
          <w:rStyle w:val="13"/>
        </w:rPr>
        <w:t>13</w:t>
      </w:r>
      <w:r>
        <w:rPr>
          <w:rStyle w:val="13"/>
          <w:rFonts w:hint="eastAsia"/>
        </w:rPr>
        <w:t>附</w:t>
      </w:r>
      <w:bookmarkStart w:id="1" w:name="_Hlt122936736"/>
      <w:bookmarkStart w:id="2" w:name="_Hlt122936737"/>
      <w:r>
        <w:rPr>
          <w:rStyle w:val="13"/>
          <w:rFonts w:hint="eastAsia"/>
        </w:rPr>
        <w:t>图</w:t>
      </w:r>
      <w:bookmarkEnd w:id="1"/>
      <w:bookmarkEnd w:id="2"/>
      <w:r>
        <w:tab/>
      </w:r>
      <w:r>
        <w:fldChar w:fldCharType="begin"/>
      </w:r>
      <w:r>
        <w:instrText xml:space="preserve"> PAGEREF _Toc120195426 \h </w:instrText>
      </w:r>
      <w:r>
        <w:fldChar w:fldCharType="separate"/>
      </w:r>
      <w:r>
        <w:t>70</w:t>
      </w:r>
      <w:r>
        <w:fldChar w:fldCharType="end"/>
      </w:r>
      <w:r>
        <w:rPr>
          <w:rStyle w:val="13"/>
        </w:rPr>
        <w:fldChar w:fldCharType="end"/>
      </w:r>
    </w:p>
    <w:p>
      <w:pPr>
        <w:pStyle w:val="8"/>
        <w:rPr>
          <w:rFonts w:ascii="Calibri" w:hAnsi="Calibri" w:eastAsia="宋体"/>
          <w:b w:val="0"/>
          <w:sz w:val="21"/>
        </w:rPr>
      </w:pPr>
      <w:r>
        <w:rPr>
          <w:rStyle w:val="13"/>
        </w:rPr>
        <w:fldChar w:fldCharType="begin"/>
      </w:r>
      <w:r>
        <w:rPr>
          <w:rStyle w:val="13"/>
        </w:rPr>
        <w:instrText xml:space="preserve"> </w:instrText>
      </w:r>
      <w:r>
        <w:instrText xml:space="preserve">HYPERLINK \l "_Toc120195427"</w:instrText>
      </w:r>
      <w:r>
        <w:rPr>
          <w:rStyle w:val="13"/>
        </w:rPr>
        <w:instrText xml:space="preserve"> </w:instrText>
      </w:r>
      <w:r>
        <w:rPr>
          <w:rStyle w:val="13"/>
        </w:rPr>
        <w:fldChar w:fldCharType="separate"/>
      </w:r>
      <w:r>
        <w:rPr>
          <w:rStyle w:val="13"/>
        </w:rPr>
        <w:t>14</w:t>
      </w:r>
      <w:r>
        <w:rPr>
          <w:rStyle w:val="13"/>
          <w:rFonts w:hint="eastAsia"/>
        </w:rPr>
        <w:t>附</w:t>
      </w:r>
      <w:bookmarkStart w:id="3" w:name="_Hlt121150965"/>
      <w:bookmarkStart w:id="4" w:name="_Hlt121150966"/>
      <w:r>
        <w:rPr>
          <w:rStyle w:val="13"/>
          <w:rFonts w:hint="eastAsia"/>
        </w:rPr>
        <w:t>件</w:t>
      </w:r>
      <w:bookmarkEnd w:id="3"/>
      <w:bookmarkEnd w:id="4"/>
      <w:r>
        <w:tab/>
      </w:r>
      <w:r>
        <w:fldChar w:fldCharType="begin"/>
      </w:r>
      <w:r>
        <w:instrText xml:space="preserve"> PAGEREF _Toc120195427 \h </w:instrText>
      </w:r>
      <w:r>
        <w:fldChar w:fldCharType="separate"/>
      </w:r>
      <w:r>
        <w:t>70</w:t>
      </w:r>
      <w:r>
        <w:fldChar w:fldCharType="end"/>
      </w:r>
      <w:r>
        <w:rPr>
          <w:rStyle w:val="13"/>
        </w:rPr>
        <w:fldChar w:fldCharType="end"/>
      </w:r>
    </w:p>
    <w:p>
      <w:pPr>
        <w:pStyle w:val="2"/>
        <w:rPr>
          <w:rFonts w:ascii="Times New Roman" w:hAnsi="Times New Roman" w:eastAsia="仿宋" w:cs="Times New Roman"/>
          <w:b/>
          <w:sz w:val="52"/>
          <w:szCs w:val="52"/>
        </w:rPr>
      </w:pPr>
      <w:r>
        <w:rPr>
          <w:rFonts w:ascii="Times New Roman" w:hAnsi="Times New Roman" w:eastAsia="仿宋" w:cs="Times New Roman"/>
          <w:szCs w:val="52"/>
        </w:rPr>
        <w:fldChar w:fldCharType="end"/>
      </w:r>
    </w:p>
    <w:p>
      <w:pPr>
        <w:ind w:firstLine="0" w:firstLineChars="0"/>
        <w:rPr>
          <w:b/>
          <w:color w:val="000000"/>
          <w:sz w:val="52"/>
          <w:szCs w:val="52"/>
        </w:rPr>
        <w:sectPr>
          <w:headerReference r:id="rId3" w:type="default"/>
          <w:footerReference r:id="rId4" w:type="default"/>
          <w:pgSz w:w="11906" w:h="16838"/>
          <w:pgMar w:top="1440" w:right="1800" w:bottom="1440" w:left="1800" w:header="851" w:footer="992" w:gutter="0"/>
          <w:pgNumType w:fmt="upperRoman" w:chapStyle="1"/>
          <w:cols w:space="720" w:num="1"/>
          <w:docGrid w:type="linesAndChars" w:linePitch="312" w:charSpace="0"/>
        </w:sectPr>
      </w:pPr>
    </w:p>
    <w:p>
      <w:pPr>
        <w:pStyle w:val="2"/>
        <w:rPr>
          <w:rFonts w:ascii="Times New Roman" w:hAnsi="Times New Roman" w:cs="Times New Roman"/>
        </w:rPr>
        <w:sectPr>
          <w:footerReference r:id="rId5" w:type="default"/>
          <w:pgSz w:w="11906" w:h="16838"/>
          <w:pgMar w:top="1440" w:right="1800" w:bottom="1440" w:left="1800" w:header="851" w:footer="992" w:gutter="0"/>
          <w:pgNumType w:start="1" w:chapStyle="1"/>
          <w:cols w:space="720" w:num="1"/>
          <w:docGrid w:type="linesAndChars" w:linePitch="312" w:charSpace="0"/>
        </w:sectPr>
      </w:pPr>
    </w:p>
    <w:p>
      <w:pPr>
        <w:pStyle w:val="3"/>
        <w:rPr>
          <w:color w:val="000000"/>
        </w:rPr>
      </w:pPr>
      <w:bookmarkStart w:id="5" w:name="_Toc120195367"/>
      <w:r>
        <w:rPr>
          <w:color w:val="000000"/>
        </w:rPr>
        <w:t>1总则</w:t>
      </w:r>
      <w:bookmarkEnd w:id="5"/>
    </w:p>
    <w:p>
      <w:pPr>
        <w:pStyle w:val="4"/>
        <w:rPr>
          <w:color w:val="000000"/>
        </w:rPr>
      </w:pPr>
      <w:bookmarkStart w:id="6" w:name="_Toc120195368"/>
      <w:r>
        <w:rPr>
          <w:color w:val="000000"/>
        </w:rPr>
        <w:t>1.1编制目的</w:t>
      </w:r>
      <w:bookmarkEnd w:id="6"/>
    </w:p>
    <w:p>
      <w:pPr>
        <w:ind w:firstLine="560"/>
        <w:rPr>
          <w:color w:val="000000"/>
        </w:rPr>
      </w:pPr>
      <w:r>
        <w:rPr>
          <w:color w:val="000000"/>
        </w:rPr>
        <w:t>（1）为加强环境风险源的监控和防范，有效降低突发环境事件发生，同时在突发环境事件发生时能够及时采取有效措施，最大限度地减小环境污染。</w:t>
      </w:r>
    </w:p>
    <w:p>
      <w:pPr>
        <w:ind w:firstLine="560"/>
        <w:rPr>
          <w:color w:val="000000"/>
        </w:rPr>
      </w:pPr>
      <w:r>
        <w:rPr>
          <w:color w:val="000000"/>
        </w:rPr>
        <w:t>（2）建立健全环境污染事故应急机制，加强环境风险管理，提高企业应对涉及公共危机的突发环境污染事故的能力，维护社会稳定，保障公众生命健康和财产安全，保护环境，促进社会全面、协调、可持续发展。</w:t>
      </w:r>
    </w:p>
    <w:p>
      <w:pPr>
        <w:ind w:firstLine="560"/>
        <w:rPr>
          <w:color w:val="000000"/>
        </w:rPr>
      </w:pPr>
      <w:r>
        <w:rPr>
          <w:color w:val="000000"/>
        </w:rPr>
        <w:t>（3）实现天津海光药业股份有限公司与地方政府及其相关部门现场处置工作的顺利过渡和有效衔接。</w:t>
      </w:r>
    </w:p>
    <w:p>
      <w:pPr>
        <w:pStyle w:val="4"/>
        <w:rPr>
          <w:color w:val="000000"/>
        </w:rPr>
      </w:pPr>
      <w:bookmarkStart w:id="7" w:name="_Toc120195369"/>
      <w:r>
        <w:rPr>
          <w:color w:val="000000"/>
        </w:rPr>
        <w:t>1.2适用范围</w:t>
      </w:r>
      <w:bookmarkEnd w:id="7"/>
    </w:p>
    <w:p>
      <w:pPr>
        <w:ind w:firstLine="560"/>
        <w:rPr>
          <w:color w:val="000000"/>
        </w:rPr>
      </w:pPr>
      <w:r>
        <w:rPr>
          <w:color w:val="000000"/>
        </w:rPr>
        <w:t>本预案适用范围限于天津经济技术开发区第七大街5号天津海光药业股份有限公司整体范围内现有经营状况下所发生的突发环境事件的预防预警、应急处置和救援工作。包括厂区内各车间及配套的公用工程、环保设施、办公生活、储存、运输（厂区内）等区域。</w:t>
      </w:r>
    </w:p>
    <w:p>
      <w:pPr>
        <w:ind w:firstLine="560"/>
        <w:rPr>
          <w:color w:val="000000"/>
        </w:rPr>
      </w:pPr>
      <w:r>
        <w:rPr>
          <w:color w:val="000000"/>
        </w:rPr>
        <w:t>主要包括：制药一车间、制药二车间、制药三车间及室外装置区、储罐区、碳化区、原料库、1#成品库以及2#成品库。</w:t>
      </w:r>
    </w:p>
    <w:p>
      <w:pPr>
        <w:pStyle w:val="4"/>
        <w:rPr>
          <w:color w:val="000000"/>
        </w:rPr>
      </w:pPr>
      <w:bookmarkStart w:id="8" w:name="_Toc120195370"/>
      <w:r>
        <w:rPr>
          <w:color w:val="000000"/>
        </w:rPr>
        <w:t>1.3工作原则</w:t>
      </w:r>
      <w:bookmarkEnd w:id="8"/>
    </w:p>
    <w:p>
      <w:pPr>
        <w:ind w:firstLine="560"/>
        <w:rPr>
          <w:color w:val="000000"/>
        </w:rPr>
      </w:pPr>
      <w:r>
        <w:rPr>
          <w:color w:val="000000"/>
        </w:rPr>
        <w:t>应在符合国家有关规定和要求的前提下，坚持救人第一、环境优先、先期处置、防止危害扩大、快速响应、科学应对、应急工作与岗位职责相结合的原则，结合本公司实际情况开展突发环境事件应急工作。</w:t>
      </w:r>
    </w:p>
    <w:p>
      <w:pPr>
        <w:pStyle w:val="4"/>
        <w:rPr>
          <w:color w:val="000000"/>
        </w:rPr>
      </w:pPr>
      <w:bookmarkStart w:id="9" w:name="_Toc120195371"/>
      <w:r>
        <w:rPr>
          <w:color w:val="000000"/>
        </w:rPr>
        <w:t>1.4事件分级及预案衔接</w:t>
      </w:r>
      <w:bookmarkEnd w:id="9"/>
    </w:p>
    <w:p>
      <w:pPr>
        <w:ind w:firstLine="560"/>
        <w:rPr>
          <w:color w:val="000000"/>
        </w:rPr>
      </w:pPr>
      <w:r>
        <w:rPr>
          <w:color w:val="000000"/>
        </w:rPr>
        <w:t>根据突发环境事件的危害程度、影响范围等实际情况，将公司的突发环境事件细分为三级，即：一级事故（区域级）、二级事故（公司级）、三级事故（现场级）。</w:t>
      </w:r>
    </w:p>
    <w:p>
      <w:pPr>
        <w:ind w:firstLine="560"/>
        <w:rPr>
          <w:color w:val="000000"/>
        </w:rPr>
      </w:pPr>
      <w:r>
        <w:rPr>
          <w:color w:val="000000"/>
        </w:rPr>
        <w:t>一级（区域级）：环境风险事件超出了公司用地界区，影响事故现场以外的周边区域。</w:t>
      </w:r>
    </w:p>
    <w:p>
      <w:pPr>
        <w:ind w:firstLine="560"/>
        <w:rPr>
          <w:color w:val="000000"/>
        </w:rPr>
      </w:pPr>
      <w:r>
        <w:rPr>
          <w:color w:val="000000"/>
        </w:rPr>
        <w:t>二级（公司级）：环境风险事件限制在企业用地界区内，影响到相邻的生产单元。生产设施发生火灾（爆炸）次生危害或者泄漏事故、储存区的危险化学品泄漏事故（泄漏量大于200L）以及消防废水影响范围控制在企业用地范围内的。</w:t>
      </w:r>
    </w:p>
    <w:p>
      <w:pPr>
        <w:ind w:firstLine="560"/>
        <w:rPr>
          <w:color w:val="000000"/>
        </w:rPr>
      </w:pPr>
      <w:r>
        <w:rPr>
          <w:color w:val="000000"/>
        </w:rPr>
        <w:t>三级（现场级）：环境风险事件发生在厂区某个生产单元，影响仅限于事故单元区。生产设施发生火灾（爆炸）次生危害或者泄漏事故、储存区的危险化学品泄漏事故（泄漏量小于 200L）以及消防废水影响范围控制在车间范围内的。</w:t>
      </w:r>
    </w:p>
    <w:p>
      <w:pPr>
        <w:ind w:firstLine="560"/>
        <w:rPr>
          <w:color w:val="000000"/>
        </w:rPr>
      </w:pPr>
      <w:r>
        <w:rPr>
          <w:color w:val="000000"/>
        </w:rPr>
        <w:t>公司发生现场级突发环境事件启动三级相应，发生公司级突发环境事件时启动二级应级相应，发生厂外突发环境事件时，启动一级应急相应。</w:t>
      </w:r>
    </w:p>
    <w:p>
      <w:pPr>
        <w:ind w:firstLine="560"/>
        <w:rPr>
          <w:color w:val="000000"/>
        </w:rPr>
      </w:pPr>
      <w:r>
        <w:rPr>
          <w:color w:val="000000"/>
        </w:rPr>
        <w:t>本预案应急体系与公司《生产安全事故应急预案》等其它专项应急预案相并列；本预案与《天津经济技术开发区突发环境事件应急预案》、《天津滨海新区突发环境事件应急预案》、《天津市突发环境事件应急预案》相衔接。</w:t>
      </w:r>
    </w:p>
    <w:p>
      <w:pPr>
        <w:ind w:firstLine="560"/>
        <w:rPr>
          <w:color w:val="000000"/>
        </w:rPr>
      </w:pPr>
      <w:r>
        <w:rPr>
          <w:color w:val="000000"/>
        </w:rPr>
        <w:t>当公司发生需要外界力量支持的突发环境事件时，应急总指挥立即上报天津经济技术开发区生态环境。本预案与上级应急预案衔接，并实施与上级的应急联动。</w:t>
      </w:r>
    </w:p>
    <w:p>
      <w:pPr>
        <w:ind w:firstLine="560"/>
        <w:rPr>
          <w:color w:val="000000"/>
        </w:rPr>
      </w:pPr>
      <w:r>
        <w:rPr>
          <w:color w:val="000000"/>
        </w:rPr>
        <w:t>公司发生公司级、现场级突发环境事件分别启动二级、三级响应， 根据公司预案体系及时做好本预案与生产安全事故预案的启动与衔接工作。</w:t>
      </w:r>
    </w:p>
    <w:p>
      <w:pPr>
        <w:ind w:firstLine="560"/>
        <w:rPr>
          <w:color w:val="000000"/>
        </w:rPr>
      </w:pPr>
      <w:r>
        <w:rPr>
          <w:color w:val="000000"/>
        </w:rPr>
        <w:t>应急预案关系图见下图。</w:t>
      </w:r>
    </w:p>
    <w:p>
      <w:pPr>
        <w:pStyle w:val="2"/>
        <w:jc w:val="center"/>
        <w:rPr>
          <w:rFonts w:ascii="Times New Roman" w:hAnsi="Times New Roman" w:eastAsia="仿宋" w:cs="Times New Roman"/>
          <w:sz w:val="28"/>
          <w:szCs w:val="28"/>
        </w:rPr>
      </w:pPr>
      <w:r>
        <w:drawing>
          <wp:inline distT="0" distB="0" distL="114300" distR="114300">
            <wp:extent cx="4625340" cy="3208020"/>
            <wp:effectExtent l="0" t="0" r="762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3"/>
                    <a:stretch>
                      <a:fillRect/>
                    </a:stretch>
                  </pic:blipFill>
                  <pic:spPr>
                    <a:xfrm>
                      <a:off x="0" y="0"/>
                      <a:ext cx="4625340" cy="3208020"/>
                    </a:xfrm>
                    <a:prstGeom prst="rect">
                      <a:avLst/>
                    </a:prstGeom>
                    <a:noFill/>
                    <a:ln>
                      <a:noFill/>
                    </a:ln>
                  </pic:spPr>
                </pic:pic>
              </a:graphicData>
            </a:graphic>
          </wp:inline>
        </w:drawing>
      </w:r>
    </w:p>
    <w:p>
      <w:pPr>
        <w:pStyle w:val="2"/>
        <w:jc w:val="center"/>
        <w:rPr>
          <w:rFonts w:ascii="Times New Roman" w:hAnsi="Times New Roman" w:eastAsia="仿宋" w:cs="Times New Roman"/>
          <w:b/>
          <w:sz w:val="28"/>
          <w:szCs w:val="28"/>
        </w:rPr>
      </w:pPr>
      <w:r>
        <w:rPr>
          <w:rFonts w:ascii="Times New Roman" w:hAnsi="Times New Roman" w:eastAsia="仿宋" w:cs="Times New Roman"/>
          <w:b/>
          <w:sz w:val="28"/>
          <w:szCs w:val="28"/>
        </w:rPr>
        <w:t>图1.4</w:t>
      </w:r>
      <w:r>
        <w:rPr>
          <w:rFonts w:ascii="Times New Roman" w:hAnsi="Times New Roman" w:eastAsia="仿宋" w:cs="Times New Roman"/>
          <w:b/>
          <w:sz w:val="28"/>
          <w:szCs w:val="28"/>
        </w:rPr>
        <w:noBreakHyphen/>
      </w:r>
      <w:r>
        <w:rPr>
          <w:rFonts w:ascii="Times New Roman" w:hAnsi="Times New Roman" w:eastAsia="仿宋" w:cs="Times New Roman"/>
          <w:b/>
          <w:sz w:val="28"/>
          <w:szCs w:val="28"/>
        </w:rPr>
        <w:t>1 本公司应急预案体系图</w:t>
      </w:r>
    </w:p>
    <w:p>
      <w:pPr>
        <w:pStyle w:val="4"/>
        <w:rPr>
          <w:color w:val="000000"/>
        </w:rPr>
      </w:pPr>
      <w:bookmarkStart w:id="10" w:name="_Toc120195372"/>
      <w:r>
        <w:rPr>
          <w:color w:val="000000"/>
        </w:rPr>
        <w:t>1.5编制依据</w:t>
      </w:r>
      <w:bookmarkEnd w:id="10"/>
    </w:p>
    <w:p>
      <w:pPr>
        <w:pStyle w:val="5"/>
        <w:rPr>
          <w:color w:val="000000"/>
        </w:rPr>
      </w:pPr>
      <w:r>
        <w:rPr>
          <w:color w:val="000000"/>
        </w:rPr>
        <w:t>1.5.1法律法规、规章、指导性文件</w:t>
      </w:r>
    </w:p>
    <w:p>
      <w:pPr>
        <w:ind w:firstLine="560"/>
        <w:rPr>
          <w:color w:val="000000"/>
        </w:rPr>
      </w:pPr>
      <w:r>
        <w:rPr>
          <w:color w:val="000000"/>
        </w:rPr>
        <w:t>（1）《中华人民共和国环境保护法》（主席令第9号，2015年1月1日起施行）；</w:t>
      </w:r>
    </w:p>
    <w:p>
      <w:pPr>
        <w:ind w:firstLine="560"/>
        <w:rPr>
          <w:color w:val="000000"/>
        </w:rPr>
      </w:pPr>
      <w:r>
        <w:rPr>
          <w:color w:val="000000"/>
        </w:rPr>
        <w:t>（2）《中华人民共和国突发事件应对法》（主席令第69号，2007年11月1日起施行）；</w:t>
      </w:r>
    </w:p>
    <w:p>
      <w:pPr>
        <w:ind w:firstLine="560"/>
        <w:rPr>
          <w:color w:val="000000"/>
        </w:rPr>
      </w:pPr>
      <w:r>
        <w:rPr>
          <w:color w:val="000000"/>
        </w:rPr>
        <w:t>（3）《中华人民共和国水污染防治法》（2018年1月1日）；</w:t>
      </w:r>
    </w:p>
    <w:p>
      <w:pPr>
        <w:ind w:firstLine="560"/>
        <w:rPr>
          <w:color w:val="000000"/>
        </w:rPr>
      </w:pPr>
      <w:r>
        <w:rPr>
          <w:color w:val="000000"/>
        </w:rPr>
        <w:t>（4）《中华人民共和国大气污染防治法》（主席令[2015]第31号，2018年10月26日修订）；</w:t>
      </w:r>
    </w:p>
    <w:p>
      <w:pPr>
        <w:ind w:firstLine="560"/>
        <w:rPr>
          <w:color w:val="000000"/>
        </w:rPr>
      </w:pPr>
      <w:r>
        <w:rPr>
          <w:color w:val="000000"/>
        </w:rPr>
        <w:t>（5）《中华人民共和国固体废物污染环境防治法》（2020年版）；</w:t>
      </w:r>
    </w:p>
    <w:p>
      <w:pPr>
        <w:ind w:firstLine="560"/>
        <w:rPr>
          <w:color w:val="000000"/>
        </w:rPr>
      </w:pPr>
      <w:r>
        <w:rPr>
          <w:color w:val="000000"/>
        </w:rPr>
        <w:t>（6）《中华人民共和国土壤污染防治法》（2019年1月1日）；</w:t>
      </w:r>
    </w:p>
    <w:p>
      <w:pPr>
        <w:ind w:firstLine="560"/>
        <w:rPr>
          <w:color w:val="000000"/>
        </w:rPr>
      </w:pPr>
      <w:r>
        <w:rPr>
          <w:color w:val="000000"/>
        </w:rPr>
        <w:t>（7）《国家突发公共事件总体应急预案》；</w:t>
      </w:r>
    </w:p>
    <w:p>
      <w:pPr>
        <w:ind w:firstLine="560"/>
        <w:rPr>
          <w:color w:val="000000"/>
        </w:rPr>
      </w:pPr>
      <w:r>
        <w:rPr>
          <w:color w:val="000000"/>
        </w:rPr>
        <w:t>（8）《国家突发环境事件应急预案》；</w:t>
      </w:r>
    </w:p>
    <w:p>
      <w:pPr>
        <w:ind w:firstLine="560"/>
        <w:rPr>
          <w:color w:val="000000"/>
        </w:rPr>
      </w:pPr>
      <w:r>
        <w:rPr>
          <w:color w:val="000000"/>
        </w:rPr>
        <w:t>（9）《突发环境事件信息报告方法》（部令第17号）；</w:t>
      </w:r>
    </w:p>
    <w:p>
      <w:pPr>
        <w:ind w:firstLine="560"/>
        <w:rPr>
          <w:color w:val="000000"/>
        </w:rPr>
      </w:pPr>
      <w:r>
        <w:rPr>
          <w:color w:val="000000"/>
        </w:rPr>
        <w:t>（10）《企业事业单位突发环境事件应急预案备案管理办法》（试行）》（环发[2015]4号）；</w:t>
      </w:r>
    </w:p>
    <w:p>
      <w:pPr>
        <w:ind w:firstLine="560"/>
        <w:rPr>
          <w:color w:val="000000"/>
        </w:rPr>
      </w:pPr>
      <w:r>
        <w:rPr>
          <w:color w:val="000000"/>
        </w:rPr>
        <w:t>（11）《企业突发环境事件风险评估指南（试行）》（环办[2014]34号）；</w:t>
      </w:r>
    </w:p>
    <w:p>
      <w:pPr>
        <w:ind w:firstLine="560"/>
        <w:rPr>
          <w:color w:val="000000"/>
        </w:rPr>
      </w:pPr>
      <w:r>
        <w:rPr>
          <w:color w:val="000000"/>
        </w:rPr>
        <w:t>（12）《突发环境事件应急管理办法》环境保护部令第34号；</w:t>
      </w:r>
    </w:p>
    <w:p>
      <w:pPr>
        <w:ind w:firstLine="560"/>
        <w:rPr>
          <w:color w:val="000000"/>
        </w:rPr>
      </w:pPr>
      <w:r>
        <w:rPr>
          <w:color w:val="000000"/>
        </w:rPr>
        <w:t>（13）《企业突发环境事件隐患排查和治理工作指南（试行）》（环境保护部公告2016年第74号）；</w:t>
      </w:r>
    </w:p>
    <w:p>
      <w:pPr>
        <w:ind w:firstLine="560"/>
        <w:rPr>
          <w:color w:val="000000"/>
        </w:rPr>
      </w:pPr>
      <w:r>
        <w:rPr>
          <w:color w:val="000000"/>
        </w:rPr>
        <w:t>（14）《企业事业单位突发环境事件应急预案评审工作指南（试行）》（环办应急[2018]8号）；</w:t>
      </w:r>
    </w:p>
    <w:p>
      <w:pPr>
        <w:ind w:firstLine="560"/>
        <w:rPr>
          <w:color w:val="000000"/>
        </w:rPr>
      </w:pPr>
      <w:r>
        <w:rPr>
          <w:color w:val="000000"/>
        </w:rPr>
        <w:t>（15）《企业突发环境事件风险分级方法》（HJ941-2018）；</w:t>
      </w:r>
    </w:p>
    <w:p>
      <w:pPr>
        <w:ind w:firstLine="560"/>
        <w:rPr>
          <w:color w:val="000000"/>
        </w:rPr>
      </w:pPr>
      <w:r>
        <w:rPr>
          <w:color w:val="000000"/>
        </w:rPr>
        <w:t>（16）《天津经济技术开发区突发事件应急管理委员会办公室关于印发天津经济技术开发区紧急突发事件信息报告管理办法的通知》（津开应急办发〔2020〕1号）；</w:t>
      </w:r>
    </w:p>
    <w:p>
      <w:pPr>
        <w:ind w:firstLine="560"/>
        <w:rPr>
          <w:color w:val="000000"/>
        </w:rPr>
      </w:pPr>
      <w:r>
        <w:rPr>
          <w:color w:val="000000"/>
        </w:rPr>
        <w:t>（17）《天津市生态环境保护条例》（2019年3月1日起施行）；</w:t>
      </w:r>
    </w:p>
    <w:p>
      <w:pPr>
        <w:ind w:firstLine="560"/>
        <w:rPr>
          <w:color w:val="000000"/>
        </w:rPr>
      </w:pPr>
      <w:r>
        <w:rPr>
          <w:color w:val="000000"/>
        </w:rPr>
        <w:t>（18）《天津市大气污染防治条例》（2020 年9月25日天津市第十七届人民代表大会常务委员会第二十三次会议《关于修改〈天津市供电用电条例〉等七部地方性法规的决定》）；</w:t>
      </w:r>
    </w:p>
    <w:p>
      <w:pPr>
        <w:ind w:firstLine="560"/>
        <w:rPr>
          <w:color w:val="000000"/>
        </w:rPr>
      </w:pPr>
      <w:r>
        <w:rPr>
          <w:color w:val="000000"/>
        </w:rPr>
        <w:t>（19）《天津市水污染防治条例》（2020年9月25日天津市第十七届人民代表大会常务委员会第二十三次会议《关于修改〈天津市供电用电条例〉等七部地方性法规的决定》第三次修正）；</w:t>
      </w:r>
    </w:p>
    <w:p>
      <w:pPr>
        <w:ind w:firstLine="560"/>
        <w:rPr>
          <w:color w:val="000000"/>
        </w:rPr>
      </w:pPr>
      <w:r>
        <w:rPr>
          <w:color w:val="000000"/>
        </w:rPr>
        <w:t>（20）《环境应急资源调查指南（试行）》（环办应急[2019]17号）；</w:t>
      </w:r>
    </w:p>
    <w:p>
      <w:pPr>
        <w:ind w:firstLine="560"/>
        <w:rPr>
          <w:color w:val="000000"/>
        </w:rPr>
      </w:pPr>
      <w:r>
        <w:rPr>
          <w:color w:val="000000"/>
        </w:rPr>
        <w:t>（21）《天津市人民政府关于印发天津市突发事件总体应急预案的通知》（津政规[2021]1号）；</w:t>
      </w:r>
    </w:p>
    <w:p>
      <w:pPr>
        <w:ind w:firstLine="560"/>
        <w:rPr>
          <w:color w:val="000000"/>
        </w:rPr>
      </w:pPr>
      <w:r>
        <w:rPr>
          <w:color w:val="000000"/>
        </w:rPr>
        <w:t>（22）《市环保局关于做好企业事业单位突发环境事件应急预案备案管理工作的通知》（津环保应[2015]40号）；</w:t>
      </w:r>
    </w:p>
    <w:p>
      <w:pPr>
        <w:ind w:firstLine="560"/>
        <w:rPr>
          <w:color w:val="000000"/>
        </w:rPr>
      </w:pPr>
      <w:r>
        <w:rPr>
          <w:color w:val="000000"/>
        </w:rPr>
        <w:t>（23）《天津市突发公共事件总体应急预案》（津政发[2013]3号）；</w:t>
      </w:r>
    </w:p>
    <w:p>
      <w:pPr>
        <w:ind w:firstLine="560"/>
        <w:rPr>
          <w:color w:val="000000"/>
        </w:rPr>
      </w:pPr>
      <w:r>
        <w:rPr>
          <w:color w:val="000000"/>
        </w:rPr>
        <w:t>（24）《天津市环保局突发环境事件应急预案》；</w:t>
      </w:r>
    </w:p>
    <w:p>
      <w:pPr>
        <w:ind w:firstLine="560"/>
        <w:rPr>
          <w:color w:val="000000"/>
        </w:rPr>
      </w:pPr>
      <w:r>
        <w:rPr>
          <w:color w:val="000000"/>
        </w:rPr>
        <w:t>（25）《天津经济技术开发区突发环境事件应急预案》。</w:t>
      </w:r>
    </w:p>
    <w:p>
      <w:pPr>
        <w:pStyle w:val="5"/>
        <w:rPr>
          <w:color w:val="000000"/>
        </w:rPr>
      </w:pPr>
      <w:r>
        <w:rPr>
          <w:color w:val="000000"/>
        </w:rPr>
        <w:t>1.5.2技术规范与标准</w:t>
      </w:r>
    </w:p>
    <w:p>
      <w:pPr>
        <w:ind w:firstLine="560"/>
        <w:rPr>
          <w:color w:val="000000"/>
        </w:rPr>
      </w:pPr>
      <w:r>
        <w:rPr>
          <w:color w:val="000000"/>
        </w:rPr>
        <w:t>（1）《企业突发环境事件风险分级方法》（HJ941-2018）；</w:t>
      </w:r>
    </w:p>
    <w:p>
      <w:pPr>
        <w:ind w:firstLine="560"/>
        <w:rPr>
          <w:color w:val="000000"/>
        </w:rPr>
      </w:pPr>
      <w:r>
        <w:rPr>
          <w:color w:val="000000"/>
        </w:rPr>
        <w:t>（2）《建设项目环境风险评价技术导则》（HJ169-2018）；</w:t>
      </w:r>
    </w:p>
    <w:p>
      <w:pPr>
        <w:ind w:firstLine="560"/>
        <w:rPr>
          <w:color w:val="000000"/>
        </w:rPr>
      </w:pPr>
      <w:r>
        <w:rPr>
          <w:color w:val="000000"/>
        </w:rPr>
        <w:t>（3）《事故状态下水体污染的预防和控制规范》（企业标准Q/SY08190-2019）；</w:t>
      </w:r>
    </w:p>
    <w:p>
      <w:pPr>
        <w:ind w:firstLine="560"/>
        <w:rPr>
          <w:color w:val="000000"/>
        </w:rPr>
      </w:pPr>
      <w:r>
        <w:rPr>
          <w:color w:val="000000"/>
        </w:rPr>
        <w:t>（4）《水体污染事故风险预防与控制措施运行管理要求》（QSY1310-2011）；</w:t>
      </w:r>
    </w:p>
    <w:p>
      <w:pPr>
        <w:ind w:firstLine="560"/>
        <w:rPr>
          <w:color w:val="000000"/>
        </w:rPr>
      </w:pPr>
      <w:r>
        <w:rPr>
          <w:color w:val="000000"/>
        </w:rPr>
        <w:t>（5）《国家危险废物名录》（2021版）；</w:t>
      </w:r>
    </w:p>
    <w:p>
      <w:pPr>
        <w:ind w:firstLine="560"/>
        <w:rPr>
          <w:color w:val="000000"/>
        </w:rPr>
      </w:pPr>
      <w:r>
        <w:rPr>
          <w:color w:val="000000"/>
        </w:rPr>
        <w:t>（6）《化工建设项目环境保护设计规范》GB50483-2009，2009年6月1日；</w:t>
      </w:r>
    </w:p>
    <w:p>
      <w:pPr>
        <w:ind w:firstLine="560"/>
        <w:rPr>
          <w:color w:val="000000"/>
        </w:rPr>
      </w:pPr>
      <w:r>
        <w:rPr>
          <w:color w:val="000000"/>
        </w:rPr>
        <w:t>（7）《危险废物贮存污染控制标准》GB18597-2001；</w:t>
      </w:r>
    </w:p>
    <w:p>
      <w:pPr>
        <w:ind w:firstLine="560"/>
        <w:rPr>
          <w:color w:val="000000"/>
        </w:rPr>
      </w:pPr>
      <w:r>
        <w:rPr>
          <w:color w:val="000000"/>
        </w:rPr>
        <w:t>（8）《环境影响评价技术导则 大气环境》（HJ2.2-2018）；</w:t>
      </w:r>
    </w:p>
    <w:p>
      <w:pPr>
        <w:ind w:firstLine="560"/>
        <w:rPr>
          <w:color w:val="000000"/>
        </w:rPr>
      </w:pPr>
      <w:r>
        <w:rPr>
          <w:color w:val="000000"/>
        </w:rPr>
        <w:t>（9）《突发环境事件应急监测技术规范》（HJ589-2021）；</w:t>
      </w:r>
    </w:p>
    <w:p>
      <w:pPr>
        <w:ind w:firstLine="560"/>
        <w:rPr>
          <w:color w:val="000000"/>
        </w:rPr>
      </w:pPr>
      <w:r>
        <w:rPr>
          <w:color w:val="000000"/>
        </w:rPr>
        <w:t>（10）《关于印发&lt;天津市突发环境事件应急预案编制导则&gt;（工业园区版、企业版）的通知》（津环保监[2010]229号）。</w:t>
      </w:r>
    </w:p>
    <w:p>
      <w:pPr>
        <w:pStyle w:val="5"/>
        <w:rPr>
          <w:color w:val="000000"/>
        </w:rPr>
      </w:pPr>
      <w:r>
        <w:rPr>
          <w:color w:val="000000"/>
        </w:rPr>
        <w:t>1.5.3其他文件</w:t>
      </w:r>
    </w:p>
    <w:p>
      <w:pPr>
        <w:ind w:firstLine="560"/>
        <w:rPr>
          <w:color w:val="000000"/>
        </w:rPr>
      </w:pPr>
      <w:r>
        <w:rPr>
          <w:color w:val="000000"/>
        </w:rPr>
        <w:t>（1）天津海光药业股份有限公司历次环境影响评价报告、验收报告及其批复；</w:t>
      </w:r>
    </w:p>
    <w:p>
      <w:pPr>
        <w:ind w:firstLine="560"/>
        <w:rPr>
          <w:color w:val="000000"/>
        </w:rPr>
      </w:pPr>
      <w:r>
        <w:rPr>
          <w:color w:val="000000"/>
        </w:rPr>
        <w:t>（2）《天津海光药业股份有限公司突发环境事件应急预案》（2019.12.23完成备案，备案编号120116-KF-2019-213-L）；</w:t>
      </w:r>
    </w:p>
    <w:p>
      <w:pPr>
        <w:ind w:firstLine="560"/>
        <w:rPr>
          <w:color w:val="000000"/>
        </w:rPr>
      </w:pPr>
      <w:r>
        <w:rPr>
          <w:color w:val="000000"/>
        </w:rPr>
        <w:t>（3）天津海光药业股份有限公司提供的其他资料。</w:t>
      </w:r>
    </w:p>
    <w:p>
      <w:pPr>
        <w:ind w:firstLine="0" w:firstLineChars="0"/>
        <w:rPr>
          <w:color w:val="000000"/>
        </w:rPr>
        <w:sectPr>
          <w:headerReference r:id="rId6" w:type="default"/>
          <w:footerReference r:id="rId7" w:type="default"/>
          <w:type w:val="continuous"/>
          <w:pgSz w:w="11906" w:h="16838"/>
          <w:pgMar w:top="1440" w:right="1803" w:bottom="1440" w:left="1803" w:header="851" w:footer="992" w:gutter="0"/>
          <w:pgNumType w:start="1"/>
          <w:cols w:space="720" w:num="1"/>
          <w:docGrid w:type="linesAndChars" w:linePitch="312" w:charSpace="0"/>
        </w:sectPr>
      </w:pPr>
    </w:p>
    <w:p>
      <w:pPr>
        <w:pStyle w:val="3"/>
        <w:rPr>
          <w:color w:val="000000"/>
        </w:rPr>
      </w:pPr>
      <w:bookmarkStart w:id="11" w:name="_Toc120195373"/>
      <w:r>
        <w:rPr>
          <w:color w:val="000000"/>
        </w:rPr>
        <w:t>2企业基本情况</w:t>
      </w:r>
      <w:bookmarkEnd w:id="11"/>
    </w:p>
    <w:p>
      <w:pPr>
        <w:pStyle w:val="4"/>
        <w:rPr>
          <w:color w:val="000000"/>
        </w:rPr>
      </w:pPr>
      <w:bookmarkStart w:id="12" w:name="_Toc120195374"/>
      <w:r>
        <w:rPr>
          <w:color w:val="000000"/>
        </w:rPr>
        <w:t>2.1企业情况简介</w:t>
      </w:r>
      <w:bookmarkEnd w:id="12"/>
    </w:p>
    <w:p>
      <w:pPr>
        <w:ind w:firstLine="560"/>
        <w:rPr>
          <w:color w:val="000000"/>
        </w:rPr>
      </w:pPr>
      <w:r>
        <w:rPr>
          <w:color w:val="000000"/>
        </w:rPr>
        <w:t>天津海光药业股份有限公司（以下简称本公司）位于天津经济技术开发区第七大街5号，厂区占地面积22212.3m2。建有制药一车间、制药二车间、制药三车间及室外装置区（储罐区、碳化区）、办公区、化验室、原料库、1#成品库以及2#成品库等工程内容，主要产品包括药用氯化镁、药用氯化钾、药用氯化钠、药用氯化钙、药用碳酸氢钠。公司基本情况如下：</w:t>
      </w:r>
    </w:p>
    <w:p>
      <w:pPr>
        <w:ind w:firstLine="0" w:firstLineChars="0"/>
        <w:jc w:val="center"/>
        <w:rPr>
          <w:color w:val="000000"/>
        </w:rPr>
      </w:pPr>
      <w:r>
        <w:rPr>
          <w:color w:val="000000"/>
        </w:rPr>
        <w:t>表2.1-1 公司基本情况介绍</w:t>
      </w:r>
    </w:p>
    <w:tbl>
      <w:tblPr>
        <w:tblStyle w:val="11"/>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40"/>
        <w:gridCol w:w="5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公司名称</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天津海光药业股份有限公司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法人及统一社会信用代码</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91120116104312084L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法人代表（企业负责人）</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杨继林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单位所在地</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天津经济技术开发区第七大街5号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中心经度</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东经117°40'39.62"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中心纬度</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北纬39°32'34.68"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所属行业类别</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化学药品原料药制造C2710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建厂年份</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1988年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最新改扩建年月</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2020年12月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主要联系方式</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022-25290061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企业规模</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年产量药用氯化钠</w:t>
            </w:r>
            <w:r>
              <w:rPr>
                <w:color w:val="000000"/>
                <w:sz w:val="24"/>
                <w:szCs w:val="22"/>
              </w:rPr>
              <w:t>20kt/a</w:t>
            </w:r>
            <w:r>
              <w:rPr>
                <w:color w:val="000000"/>
                <w:sz w:val="24"/>
                <w:szCs w:val="24"/>
              </w:rPr>
              <w:t>，药用氯化钾</w:t>
            </w:r>
            <w:r>
              <w:rPr>
                <w:color w:val="000000"/>
                <w:sz w:val="24"/>
                <w:szCs w:val="22"/>
              </w:rPr>
              <w:t>1kt/a</w:t>
            </w:r>
            <w:r>
              <w:rPr>
                <w:color w:val="000000"/>
                <w:sz w:val="24"/>
                <w:szCs w:val="24"/>
              </w:rPr>
              <w:t>，药用氯化镁</w:t>
            </w:r>
            <w:r>
              <w:rPr>
                <w:color w:val="000000"/>
                <w:sz w:val="24"/>
                <w:szCs w:val="22"/>
              </w:rPr>
              <w:t>0.4kt/a</w:t>
            </w:r>
            <w:r>
              <w:rPr>
                <w:color w:val="000000"/>
                <w:sz w:val="24"/>
                <w:szCs w:val="24"/>
              </w:rPr>
              <w:t>，药用氯化钙</w:t>
            </w:r>
            <w:r>
              <w:rPr>
                <w:color w:val="000000"/>
                <w:sz w:val="24"/>
                <w:szCs w:val="22"/>
              </w:rPr>
              <w:t>0.3kt/a</w:t>
            </w:r>
            <w:r>
              <w:rPr>
                <w:color w:val="000000"/>
                <w:sz w:val="24"/>
                <w:szCs w:val="24"/>
              </w:rPr>
              <w:t>，药用碳酸氢钠</w:t>
            </w:r>
            <w:r>
              <w:rPr>
                <w:color w:val="000000"/>
                <w:sz w:val="24"/>
                <w:szCs w:val="22"/>
              </w:rPr>
              <w:t>12kt/a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厂区面积</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22212.3m</w:t>
            </w:r>
            <w:r>
              <w:rPr>
                <w:color w:val="000000"/>
                <w:sz w:val="24"/>
                <w:szCs w:val="24"/>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从业人数</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142人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0" w:type="dxa"/>
            <w:noWrap w:val="0"/>
            <w:vAlign w:val="center"/>
          </w:tcPr>
          <w:p>
            <w:pPr>
              <w:spacing w:line="240" w:lineRule="auto"/>
              <w:ind w:firstLine="0" w:firstLineChars="0"/>
              <w:jc w:val="center"/>
              <w:rPr>
                <w:color w:val="000000"/>
                <w:sz w:val="24"/>
                <w:szCs w:val="24"/>
              </w:rPr>
            </w:pPr>
            <w:r>
              <w:rPr>
                <w:color w:val="000000"/>
                <w:sz w:val="24"/>
                <w:szCs w:val="24"/>
              </w:rPr>
              <w:t>生产班制</w:t>
            </w:r>
          </w:p>
        </w:tc>
        <w:tc>
          <w:tcPr>
            <w:tcW w:w="5464" w:type="dxa"/>
            <w:noWrap w:val="0"/>
            <w:vAlign w:val="center"/>
          </w:tcPr>
          <w:p>
            <w:pPr>
              <w:spacing w:line="240" w:lineRule="auto"/>
              <w:ind w:firstLine="0" w:firstLineChars="0"/>
              <w:jc w:val="center"/>
              <w:rPr>
                <w:color w:val="000000"/>
                <w:sz w:val="24"/>
                <w:szCs w:val="24"/>
              </w:rPr>
            </w:pPr>
            <w:r>
              <w:rPr>
                <w:color w:val="000000"/>
                <w:sz w:val="24"/>
                <w:szCs w:val="24"/>
              </w:rPr>
              <w:t>生产车间实行三班制，全年工作300天</w:t>
            </w:r>
          </w:p>
        </w:tc>
      </w:tr>
    </w:tbl>
    <w:p>
      <w:pPr>
        <w:ind w:firstLine="560"/>
        <w:rPr>
          <w:color w:val="000000"/>
        </w:rPr>
      </w:pPr>
      <w:r>
        <w:rPr>
          <w:color w:val="000000"/>
        </w:rPr>
        <w:t>厂区内主要建（构）筑物及建成投产情况见下表。</w:t>
      </w:r>
    </w:p>
    <w:p>
      <w:pPr>
        <w:ind w:firstLine="0" w:firstLineChars="0"/>
        <w:jc w:val="center"/>
        <w:rPr>
          <w:color w:val="000000"/>
        </w:rPr>
      </w:pPr>
    </w:p>
    <w:p>
      <w:pPr>
        <w:ind w:firstLine="0" w:firstLineChars="0"/>
        <w:jc w:val="center"/>
        <w:rPr>
          <w:color w:val="000000"/>
        </w:rPr>
      </w:pPr>
    </w:p>
    <w:p>
      <w:pPr>
        <w:ind w:firstLine="0" w:firstLineChars="0"/>
        <w:jc w:val="center"/>
        <w:rPr>
          <w:color w:val="000000"/>
        </w:rPr>
      </w:pPr>
      <w:r>
        <w:rPr>
          <w:color w:val="000000"/>
        </w:rPr>
        <w:t>表2.1</w:t>
      </w:r>
      <w:r>
        <w:rPr>
          <w:color w:val="000000"/>
        </w:rPr>
        <w:noBreakHyphen/>
      </w:r>
      <w:r>
        <w:rPr>
          <w:color w:val="000000"/>
        </w:rPr>
        <w:t>2  厂区主要工程内容一览表</w:t>
      </w:r>
    </w:p>
    <w:tbl>
      <w:tblPr>
        <w:tblStyle w:val="11"/>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823"/>
        <w:gridCol w:w="2403"/>
        <w:gridCol w:w="35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4" w:type="dxa"/>
            <w:gridSpan w:val="2"/>
            <w:noWrap w:val="0"/>
            <w:vAlign w:val="center"/>
          </w:tcPr>
          <w:p>
            <w:pPr>
              <w:spacing w:line="240" w:lineRule="auto"/>
              <w:ind w:firstLine="0" w:firstLineChars="0"/>
              <w:jc w:val="center"/>
              <w:rPr>
                <w:color w:val="000000"/>
                <w:sz w:val="24"/>
                <w:szCs w:val="24"/>
              </w:rPr>
            </w:pPr>
            <w:r>
              <w:rPr>
                <w:color w:val="000000"/>
                <w:sz w:val="24"/>
                <w:szCs w:val="24"/>
              </w:rPr>
              <w:t>项目组成</w:t>
            </w:r>
          </w:p>
        </w:tc>
        <w:tc>
          <w:tcPr>
            <w:tcW w:w="5910" w:type="dxa"/>
            <w:gridSpan w:val="2"/>
            <w:noWrap w:val="0"/>
            <w:vAlign w:val="center"/>
          </w:tcPr>
          <w:p>
            <w:pPr>
              <w:spacing w:line="240" w:lineRule="auto"/>
              <w:ind w:firstLine="0" w:firstLineChars="0"/>
              <w:jc w:val="center"/>
              <w:rPr>
                <w:color w:val="000000"/>
                <w:sz w:val="24"/>
                <w:szCs w:val="24"/>
              </w:rPr>
            </w:pPr>
            <w:r>
              <w:rPr>
                <w:color w:val="000000"/>
                <w:sz w:val="24"/>
                <w:szCs w:val="24"/>
              </w:rPr>
              <w:t>主要工程内容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restart"/>
            <w:noWrap w:val="0"/>
            <w:vAlign w:val="center"/>
          </w:tcPr>
          <w:p>
            <w:pPr>
              <w:spacing w:line="240" w:lineRule="auto"/>
              <w:ind w:firstLine="0" w:firstLineChars="0"/>
              <w:jc w:val="center"/>
              <w:rPr>
                <w:color w:val="000000"/>
                <w:sz w:val="24"/>
                <w:szCs w:val="24"/>
              </w:rPr>
            </w:pPr>
            <w:r>
              <w:rPr>
                <w:color w:val="000000"/>
                <w:sz w:val="24"/>
                <w:szCs w:val="24"/>
              </w:rPr>
              <w:t>主体工程</w:t>
            </w: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制药一车间</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占地面积4486.18m</w:t>
            </w:r>
            <w:r>
              <w:rPr>
                <w:color w:val="000000"/>
                <w:sz w:val="24"/>
                <w:szCs w:val="24"/>
                <w:vertAlign w:val="superscript"/>
              </w:rPr>
              <w:t>2</w:t>
            </w:r>
            <w:r>
              <w:rPr>
                <w:color w:val="000000"/>
                <w:sz w:val="24"/>
                <w:szCs w:val="24"/>
              </w:rPr>
              <w:t>，主体两层，局部三层，设1套20kt/a药用氯化钠生产装置，年产氯化钠20kt/a。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制药二车间</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占地面积790m</w:t>
            </w:r>
            <w:r>
              <w:rPr>
                <w:color w:val="000000"/>
                <w:sz w:val="24"/>
                <w:szCs w:val="24"/>
                <w:vertAlign w:val="superscript"/>
              </w:rPr>
              <w:t>2</w:t>
            </w:r>
            <w:r>
              <w:rPr>
                <w:color w:val="000000"/>
                <w:sz w:val="24"/>
                <w:szCs w:val="24"/>
              </w:rPr>
              <w:t>，设1套10kt/a药用氯化钠装置，年产药用氯化钠5kt/a、药用氯化钾1kt/a、药用氯化镁0.4kt/a；设1套0.3kt/a药用氯化钙装置，年产药用氯化钙0.3kt/a。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制药三车间</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占地面积2165.11m</w:t>
            </w:r>
            <w:r>
              <w:rPr>
                <w:color w:val="000000"/>
                <w:sz w:val="24"/>
                <w:szCs w:val="24"/>
                <w:vertAlign w:val="superscript"/>
              </w:rPr>
              <w:t>2</w:t>
            </w:r>
            <w:r>
              <w:rPr>
                <w:color w:val="000000"/>
                <w:sz w:val="24"/>
                <w:szCs w:val="24"/>
              </w:rPr>
              <w:t>，三车间为三层，钢筋混凝土框架厂房，设一套12kt/a药用碳酸氢钠装置，年产药用碳酸氢钠12kt/a。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restart"/>
            <w:noWrap w:val="0"/>
            <w:vAlign w:val="center"/>
          </w:tcPr>
          <w:p>
            <w:pPr>
              <w:spacing w:line="240" w:lineRule="auto"/>
              <w:ind w:firstLine="0" w:firstLineChars="0"/>
              <w:jc w:val="center"/>
              <w:rPr>
                <w:color w:val="000000"/>
                <w:sz w:val="24"/>
                <w:szCs w:val="24"/>
              </w:rPr>
            </w:pPr>
            <w:r>
              <w:rPr>
                <w:color w:val="000000"/>
                <w:sz w:val="24"/>
                <w:szCs w:val="24"/>
              </w:rPr>
              <w:t>辅助工程</w:t>
            </w: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办公室</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占地面积221m</w:t>
            </w:r>
            <w:r>
              <w:rPr>
                <w:color w:val="000000"/>
                <w:sz w:val="24"/>
                <w:szCs w:val="24"/>
                <w:vertAlign w:val="superscript"/>
              </w:rPr>
              <w:t>2</w:t>
            </w:r>
            <w:r>
              <w:rPr>
                <w:color w:val="000000"/>
                <w:sz w:val="24"/>
                <w:szCs w:val="24"/>
              </w:rPr>
              <w:t>，不涉及食堂，采用配餐形式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化验室</w:t>
            </w:r>
          </w:p>
        </w:tc>
        <w:tc>
          <w:tcPr>
            <w:tcW w:w="5910" w:type="dxa"/>
            <w:gridSpan w:val="2"/>
            <w:noWrap w:val="0"/>
            <w:vAlign w:val="center"/>
          </w:tcPr>
          <w:p>
            <w:pPr>
              <w:spacing w:line="240" w:lineRule="auto"/>
              <w:ind w:firstLine="0" w:firstLineChars="0"/>
              <w:rPr>
                <w:rFonts w:eastAsia="宋体"/>
                <w:color w:val="000000"/>
                <w:sz w:val="24"/>
                <w:szCs w:val="24"/>
              </w:rPr>
            </w:pPr>
            <w:r>
              <w:rPr>
                <w:color w:val="000000"/>
                <w:sz w:val="24"/>
                <w:szCs w:val="24"/>
              </w:rPr>
              <w:t>占地面积387m</w:t>
            </w:r>
            <w:r>
              <w:rPr>
                <w:color w:val="000000"/>
                <w:sz w:val="24"/>
                <w:szCs w:val="24"/>
                <w:vertAlign w:val="superscript"/>
              </w:rPr>
              <w:t>2</w:t>
            </w:r>
            <w:r>
              <w:rPr>
                <w:color w:val="000000"/>
                <w:sz w:val="24"/>
                <w:szCs w:val="24"/>
              </w:rPr>
              <w:t>，位于二车间东侧，为单独一层建筑，进行原辅料和产品指标化验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restart"/>
            <w:noWrap w:val="0"/>
            <w:vAlign w:val="center"/>
          </w:tcPr>
          <w:p>
            <w:pPr>
              <w:spacing w:line="240" w:lineRule="auto"/>
              <w:ind w:firstLine="0" w:firstLineChars="0"/>
              <w:jc w:val="center"/>
              <w:rPr>
                <w:color w:val="000000"/>
                <w:sz w:val="24"/>
                <w:szCs w:val="24"/>
              </w:rPr>
            </w:pPr>
            <w:r>
              <w:rPr>
                <w:color w:val="000000"/>
                <w:sz w:val="24"/>
                <w:szCs w:val="24"/>
              </w:rPr>
              <w:t>储运工程</w:t>
            </w: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盐酸储槽</w:t>
            </w:r>
          </w:p>
          <w:p>
            <w:pPr>
              <w:spacing w:line="240" w:lineRule="auto"/>
              <w:ind w:firstLine="0" w:firstLineChars="0"/>
              <w:jc w:val="center"/>
              <w:rPr>
                <w:color w:val="000000"/>
                <w:sz w:val="24"/>
                <w:szCs w:val="24"/>
              </w:rPr>
            </w:pPr>
            <w:r>
              <w:rPr>
                <w:color w:val="000000"/>
                <w:sz w:val="24"/>
                <w:szCs w:val="24"/>
              </w:rPr>
              <w:t>（浓度31%）</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制药一车间内设1个有效容积10m</w:t>
            </w:r>
            <w:r>
              <w:rPr>
                <w:color w:val="000000"/>
                <w:sz w:val="24"/>
                <w:szCs w:val="24"/>
                <w:vertAlign w:val="superscript"/>
              </w:rPr>
              <w:t>3</w:t>
            </w:r>
            <w:r>
              <w:rPr>
                <w:color w:val="000000"/>
                <w:sz w:val="24"/>
                <w:szCs w:val="24"/>
              </w:rPr>
              <w:t>盐酸储槽，围堰面积为20m</w:t>
            </w:r>
            <w:r>
              <w:rPr>
                <w:color w:val="000000"/>
                <w:sz w:val="24"/>
                <w:szCs w:val="24"/>
                <w:vertAlign w:val="superscript"/>
              </w:rPr>
              <w:t>2</w:t>
            </w:r>
            <w:r>
              <w:rPr>
                <w:color w:val="000000"/>
                <w:sz w:val="24"/>
                <w:szCs w:val="24"/>
              </w:rPr>
              <w:t>，围堰高度为1m。制药二车间外设1个有效容积8m</w:t>
            </w:r>
            <w:r>
              <w:rPr>
                <w:color w:val="000000"/>
                <w:sz w:val="24"/>
                <w:szCs w:val="24"/>
                <w:vertAlign w:val="superscript"/>
              </w:rPr>
              <w:t>3</w:t>
            </w:r>
            <w:r>
              <w:rPr>
                <w:color w:val="000000"/>
                <w:sz w:val="24"/>
                <w:szCs w:val="24"/>
              </w:rPr>
              <w:t>盐酸储槽，围堰面积为23m</w:t>
            </w:r>
            <w:r>
              <w:rPr>
                <w:color w:val="000000"/>
                <w:sz w:val="24"/>
                <w:szCs w:val="24"/>
                <w:vertAlign w:val="superscript"/>
              </w:rPr>
              <w:t>2</w:t>
            </w:r>
            <w:r>
              <w:rPr>
                <w:color w:val="000000"/>
                <w:sz w:val="24"/>
                <w:szCs w:val="24"/>
              </w:rPr>
              <w:t>，围堰高度为0.45m。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室外装置区</w:t>
            </w:r>
          </w:p>
          <w:p>
            <w:pPr>
              <w:spacing w:line="240" w:lineRule="auto"/>
              <w:ind w:firstLine="0" w:firstLineChars="0"/>
              <w:jc w:val="center"/>
              <w:rPr>
                <w:color w:val="000000"/>
                <w:sz w:val="24"/>
                <w:szCs w:val="24"/>
              </w:rPr>
            </w:pPr>
            <w:r>
              <w:rPr>
                <w:color w:val="000000"/>
                <w:sz w:val="24"/>
                <w:szCs w:val="24"/>
              </w:rPr>
              <w:t>（储罐区、碳化区）</w:t>
            </w:r>
          </w:p>
        </w:tc>
        <w:tc>
          <w:tcPr>
            <w:tcW w:w="5910" w:type="dxa"/>
            <w:gridSpan w:val="2"/>
            <w:noWrap w:val="0"/>
            <w:vAlign w:val="center"/>
          </w:tcPr>
          <w:p>
            <w:pPr>
              <w:wordWrap w:val="0"/>
              <w:spacing w:line="240" w:lineRule="auto"/>
              <w:ind w:firstLine="0" w:firstLineChars="0"/>
              <w:rPr>
                <w:color w:val="000000"/>
                <w:sz w:val="24"/>
                <w:szCs w:val="24"/>
              </w:rPr>
            </w:pPr>
            <w:r>
              <w:rPr>
                <w:color w:val="000000"/>
                <w:sz w:val="24"/>
                <w:szCs w:val="24"/>
              </w:rPr>
              <w:t>室外装置区占地面积521.1m</w:t>
            </w:r>
            <w:r>
              <w:rPr>
                <w:color w:val="000000"/>
                <w:sz w:val="24"/>
                <w:szCs w:val="24"/>
                <w:vertAlign w:val="superscript"/>
              </w:rPr>
              <w:t>2</w:t>
            </w:r>
            <w:r>
              <w:rPr>
                <w:color w:val="000000"/>
                <w:sz w:val="24"/>
                <w:szCs w:val="24"/>
              </w:rPr>
              <w:t>。</w:t>
            </w:r>
          </w:p>
          <w:p>
            <w:pPr>
              <w:wordWrap w:val="0"/>
              <w:spacing w:line="240" w:lineRule="auto"/>
              <w:ind w:firstLine="0" w:firstLineChars="0"/>
              <w:rPr>
                <w:color w:val="000000"/>
                <w:sz w:val="24"/>
                <w:szCs w:val="24"/>
              </w:rPr>
            </w:pPr>
            <w:r>
              <w:rPr>
                <w:color w:val="000000"/>
                <w:sz w:val="24"/>
                <w:szCs w:val="24"/>
              </w:rPr>
              <w:t>储罐区内共有5台储罐，其中2台液体二氧化碳储罐，单罐容积均为100m</w:t>
            </w:r>
            <w:r>
              <w:rPr>
                <w:color w:val="000000"/>
                <w:sz w:val="24"/>
                <w:szCs w:val="24"/>
                <w:vertAlign w:val="superscript"/>
              </w:rPr>
              <w:t>3</w:t>
            </w:r>
            <w:r>
              <w:rPr>
                <w:color w:val="000000"/>
                <w:sz w:val="24"/>
                <w:szCs w:val="24"/>
              </w:rPr>
              <w:t>；2台烧碱储罐，罐内烧碱浓度为32%，单罐容积均为150m</w:t>
            </w:r>
            <w:r>
              <w:rPr>
                <w:color w:val="000000"/>
                <w:sz w:val="24"/>
                <w:szCs w:val="24"/>
                <w:vertAlign w:val="superscript"/>
              </w:rPr>
              <w:t>3</w:t>
            </w:r>
            <w:r>
              <w:rPr>
                <w:color w:val="000000"/>
                <w:sz w:val="24"/>
                <w:szCs w:val="24"/>
              </w:rPr>
              <w:t>；1台烧碱溶液配置罐，罐内烧碱浓度为15%-18%，单罐容积为150m</w:t>
            </w:r>
            <w:r>
              <w:rPr>
                <w:color w:val="000000"/>
                <w:sz w:val="24"/>
                <w:szCs w:val="24"/>
                <w:vertAlign w:val="superscript"/>
              </w:rPr>
              <w:t>3</w:t>
            </w:r>
            <w:r>
              <w:rPr>
                <w:color w:val="000000"/>
                <w:sz w:val="24"/>
                <w:szCs w:val="24"/>
              </w:rPr>
              <w:t>。储罐区围堰面积256m</w:t>
            </w:r>
            <w:r>
              <w:rPr>
                <w:color w:val="000000"/>
                <w:sz w:val="24"/>
                <w:szCs w:val="24"/>
                <w:vertAlign w:val="superscript"/>
              </w:rPr>
              <w:t>2</w:t>
            </w:r>
            <w:r>
              <w:rPr>
                <w:color w:val="000000"/>
                <w:sz w:val="24"/>
                <w:szCs w:val="24"/>
              </w:rPr>
              <w:t>(16×16）、高1.6m。</w:t>
            </w:r>
          </w:p>
          <w:p>
            <w:pPr>
              <w:wordWrap w:val="0"/>
              <w:spacing w:line="240" w:lineRule="auto"/>
              <w:ind w:firstLine="0" w:firstLineChars="0"/>
              <w:rPr>
                <w:color w:val="000000"/>
                <w:sz w:val="24"/>
                <w:szCs w:val="24"/>
              </w:rPr>
            </w:pPr>
            <w:r>
              <w:rPr>
                <w:color w:val="000000"/>
                <w:sz w:val="24"/>
                <w:szCs w:val="24"/>
              </w:rPr>
              <w:t>碳化区四周设环形导流沟。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1#成品库</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占地面积243m</w:t>
            </w:r>
            <w:r>
              <w:rPr>
                <w:color w:val="000000"/>
                <w:sz w:val="24"/>
                <w:szCs w:val="24"/>
                <w:vertAlign w:val="superscript"/>
              </w:rPr>
              <w:t>2</w:t>
            </w:r>
            <w:r>
              <w:rPr>
                <w:color w:val="000000"/>
                <w:sz w:val="24"/>
                <w:szCs w:val="24"/>
              </w:rPr>
              <w:t>，用于存储药用氯化钠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2#成品库</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占地面积518m</w:t>
            </w:r>
            <w:r>
              <w:rPr>
                <w:color w:val="000000"/>
                <w:sz w:val="24"/>
                <w:szCs w:val="24"/>
                <w:vertAlign w:val="superscript"/>
              </w:rPr>
              <w:t>2</w:t>
            </w:r>
            <w:r>
              <w:rPr>
                <w:color w:val="000000"/>
                <w:sz w:val="24"/>
                <w:szCs w:val="24"/>
              </w:rPr>
              <w:t>，用于存储药用氯化钾、药用氯化镁和药用氯化钙三种产品。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碳酸氢钠库房</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占地面积1042m</w:t>
            </w:r>
            <w:r>
              <w:rPr>
                <w:color w:val="000000"/>
                <w:sz w:val="24"/>
                <w:szCs w:val="24"/>
                <w:vertAlign w:val="superscript"/>
              </w:rPr>
              <w:t>2</w:t>
            </w:r>
            <w:r>
              <w:rPr>
                <w:color w:val="000000"/>
                <w:sz w:val="24"/>
                <w:szCs w:val="24"/>
              </w:rPr>
              <w:t>，位于制药三车间内，用于存储药用碳酸氢钠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原料库</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位于2#成品库东侧，用于储存原辅料。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restart"/>
            <w:noWrap w:val="0"/>
            <w:vAlign w:val="center"/>
          </w:tcPr>
          <w:p>
            <w:pPr>
              <w:spacing w:line="240" w:lineRule="auto"/>
              <w:ind w:firstLine="0" w:firstLineChars="0"/>
              <w:jc w:val="center"/>
              <w:rPr>
                <w:color w:val="000000"/>
                <w:sz w:val="24"/>
                <w:szCs w:val="24"/>
              </w:rPr>
            </w:pPr>
            <w:r>
              <w:rPr>
                <w:color w:val="000000"/>
                <w:sz w:val="24"/>
                <w:szCs w:val="24"/>
              </w:rPr>
              <w:t>公用工程</w:t>
            </w: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纯水制备系统</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共3套，纯水制备能力为10.5t/h，其中制药一车间纯水供应能力为5t/h、制药二车间纯水供应能力为0.5t/h、制药三车间纯水供应能力为5t/h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循环水</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共3套，循环能力为540m</w:t>
            </w:r>
            <w:r>
              <w:rPr>
                <w:color w:val="000000"/>
                <w:sz w:val="24"/>
                <w:szCs w:val="24"/>
                <w:vertAlign w:val="superscript"/>
              </w:rPr>
              <w:t>3</w:t>
            </w:r>
            <w:r>
              <w:rPr>
                <w:color w:val="000000"/>
                <w:sz w:val="24"/>
                <w:szCs w:val="24"/>
              </w:rPr>
              <w:t>/h，其中2套循环量均为120m</w:t>
            </w:r>
            <w:r>
              <w:rPr>
                <w:color w:val="000000"/>
                <w:sz w:val="24"/>
                <w:szCs w:val="24"/>
                <w:vertAlign w:val="superscript"/>
              </w:rPr>
              <w:t>3</w:t>
            </w:r>
            <w:r>
              <w:rPr>
                <w:color w:val="000000"/>
                <w:sz w:val="24"/>
                <w:szCs w:val="24"/>
              </w:rPr>
              <w:t>/h，1套循环量为300m</w:t>
            </w:r>
            <w:r>
              <w:rPr>
                <w:color w:val="000000"/>
                <w:sz w:val="24"/>
                <w:szCs w:val="24"/>
                <w:vertAlign w:val="superscript"/>
              </w:rPr>
              <w:t>3</w:t>
            </w:r>
            <w:r>
              <w:rPr>
                <w:color w:val="000000"/>
                <w:sz w:val="24"/>
                <w:szCs w:val="24"/>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给水</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由市政供水管网提供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排水</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公司排水采用雨污分流方式，雨水排入厂区雨水管网；废水排入天津泰达威立雅水务有限公司污水处理厂处理。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供电</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厂区内设1台630kVA变压器、1台500kVA变压器、1台1250kVA变压器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供热</w:t>
            </w:r>
          </w:p>
        </w:tc>
        <w:tc>
          <w:tcPr>
            <w:tcW w:w="5910" w:type="dxa"/>
            <w:gridSpan w:val="2"/>
            <w:noWrap w:val="0"/>
            <w:vAlign w:val="center"/>
          </w:tcPr>
          <w:p>
            <w:pPr>
              <w:spacing w:line="240" w:lineRule="auto"/>
              <w:ind w:firstLine="0" w:firstLineChars="0"/>
              <w:rPr>
                <w:color w:val="000000"/>
                <w:sz w:val="24"/>
                <w:szCs w:val="24"/>
              </w:rPr>
            </w:pPr>
            <w:r>
              <w:rPr>
                <w:color w:val="000000"/>
                <w:sz w:val="24"/>
                <w:szCs w:val="24"/>
              </w:rPr>
              <w:t>由天津泰达津联热电公司提供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restart"/>
            <w:noWrap w:val="0"/>
            <w:vAlign w:val="center"/>
          </w:tcPr>
          <w:p>
            <w:pPr>
              <w:spacing w:line="240" w:lineRule="auto"/>
              <w:ind w:firstLine="0" w:firstLineChars="0"/>
              <w:jc w:val="center"/>
              <w:rPr>
                <w:color w:val="000000"/>
                <w:sz w:val="24"/>
                <w:szCs w:val="24"/>
              </w:rPr>
            </w:pPr>
            <w:r>
              <w:rPr>
                <w:color w:val="000000"/>
                <w:sz w:val="24"/>
                <w:szCs w:val="24"/>
              </w:rPr>
              <w:t>环保工程</w:t>
            </w:r>
          </w:p>
        </w:tc>
        <w:tc>
          <w:tcPr>
            <w:tcW w:w="1823" w:type="dxa"/>
            <w:vMerge w:val="restart"/>
            <w:noWrap w:val="0"/>
            <w:vAlign w:val="center"/>
          </w:tcPr>
          <w:p>
            <w:pPr>
              <w:spacing w:line="240" w:lineRule="auto"/>
              <w:ind w:firstLine="0" w:firstLineChars="0"/>
              <w:jc w:val="center"/>
              <w:rPr>
                <w:color w:val="000000"/>
                <w:sz w:val="24"/>
                <w:szCs w:val="24"/>
              </w:rPr>
            </w:pPr>
            <w:r>
              <w:rPr>
                <w:color w:val="000000"/>
                <w:sz w:val="24"/>
                <w:szCs w:val="24"/>
              </w:rPr>
              <w:t>废气</w:t>
            </w:r>
          </w:p>
        </w:tc>
        <w:tc>
          <w:tcPr>
            <w:tcW w:w="2403" w:type="dxa"/>
            <w:noWrap w:val="0"/>
            <w:vAlign w:val="center"/>
          </w:tcPr>
          <w:p>
            <w:pPr>
              <w:spacing w:line="240" w:lineRule="auto"/>
              <w:ind w:firstLine="0" w:firstLineChars="0"/>
              <w:rPr>
                <w:color w:val="000000"/>
                <w:sz w:val="24"/>
                <w:szCs w:val="24"/>
              </w:rPr>
            </w:pPr>
            <w:r>
              <w:rPr>
                <w:color w:val="000000"/>
                <w:sz w:val="24"/>
                <w:szCs w:val="24"/>
              </w:rPr>
              <w:t>一车间干燥工序废气处理设施</w:t>
            </w:r>
          </w:p>
        </w:tc>
        <w:tc>
          <w:tcPr>
            <w:tcW w:w="3507" w:type="dxa"/>
            <w:noWrap w:val="0"/>
            <w:vAlign w:val="center"/>
          </w:tcPr>
          <w:p>
            <w:pPr>
              <w:spacing w:line="240" w:lineRule="auto"/>
              <w:ind w:firstLine="0" w:firstLineChars="0"/>
              <w:rPr>
                <w:color w:val="000000"/>
                <w:sz w:val="24"/>
                <w:szCs w:val="24"/>
              </w:rPr>
            </w:pPr>
            <w:r>
              <w:rPr>
                <w:color w:val="000000"/>
                <w:sz w:val="24"/>
                <w:szCs w:val="24"/>
              </w:rPr>
              <w:t>旋风分离器+两级水喷淋；1根24m高排气筒DA002。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vMerge w:val="continue"/>
            <w:noWrap w:val="0"/>
            <w:vAlign w:val="center"/>
          </w:tcPr>
          <w:p>
            <w:pPr>
              <w:spacing w:line="240" w:lineRule="auto"/>
              <w:ind w:firstLine="0" w:firstLineChars="0"/>
              <w:jc w:val="center"/>
              <w:rPr>
                <w:color w:val="000000"/>
                <w:sz w:val="24"/>
                <w:szCs w:val="24"/>
              </w:rPr>
            </w:pPr>
          </w:p>
        </w:tc>
        <w:tc>
          <w:tcPr>
            <w:tcW w:w="2403" w:type="dxa"/>
            <w:noWrap w:val="0"/>
            <w:vAlign w:val="center"/>
          </w:tcPr>
          <w:p>
            <w:pPr>
              <w:spacing w:line="240" w:lineRule="auto"/>
              <w:ind w:firstLine="0" w:firstLineChars="0"/>
              <w:rPr>
                <w:color w:val="000000"/>
                <w:sz w:val="24"/>
                <w:szCs w:val="24"/>
              </w:rPr>
            </w:pPr>
            <w:r>
              <w:rPr>
                <w:color w:val="000000"/>
                <w:sz w:val="24"/>
                <w:szCs w:val="24"/>
              </w:rPr>
              <w:t>二车间氯化钠、氯化镁、氯化钾废气处理设施</w:t>
            </w:r>
          </w:p>
        </w:tc>
        <w:tc>
          <w:tcPr>
            <w:tcW w:w="3507" w:type="dxa"/>
            <w:noWrap w:val="0"/>
            <w:vAlign w:val="center"/>
          </w:tcPr>
          <w:p>
            <w:pPr>
              <w:spacing w:line="240" w:lineRule="auto"/>
              <w:ind w:firstLine="0" w:firstLineChars="0"/>
              <w:rPr>
                <w:color w:val="000000"/>
                <w:sz w:val="24"/>
                <w:szCs w:val="24"/>
              </w:rPr>
            </w:pPr>
            <w:r>
              <w:rPr>
                <w:color w:val="000000"/>
                <w:sz w:val="24"/>
                <w:szCs w:val="24"/>
              </w:rPr>
              <w:t>旋风分离器+两级水喷淋；1根24m高排气筒DA001。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vMerge w:val="continue"/>
            <w:noWrap w:val="0"/>
            <w:vAlign w:val="center"/>
          </w:tcPr>
          <w:p>
            <w:pPr>
              <w:spacing w:line="240" w:lineRule="auto"/>
              <w:ind w:firstLine="0" w:firstLineChars="0"/>
              <w:jc w:val="center"/>
              <w:rPr>
                <w:color w:val="000000"/>
                <w:sz w:val="24"/>
                <w:szCs w:val="24"/>
              </w:rPr>
            </w:pPr>
          </w:p>
        </w:tc>
        <w:tc>
          <w:tcPr>
            <w:tcW w:w="2403" w:type="dxa"/>
            <w:noWrap w:val="0"/>
            <w:vAlign w:val="center"/>
          </w:tcPr>
          <w:p>
            <w:pPr>
              <w:spacing w:line="240" w:lineRule="auto"/>
              <w:ind w:firstLine="0" w:firstLineChars="0"/>
              <w:rPr>
                <w:color w:val="000000"/>
                <w:sz w:val="24"/>
                <w:szCs w:val="24"/>
              </w:rPr>
            </w:pPr>
            <w:r>
              <w:rPr>
                <w:color w:val="000000"/>
                <w:sz w:val="24"/>
                <w:szCs w:val="24"/>
              </w:rPr>
              <w:t>二车间氯化钙废气处理设施</w:t>
            </w:r>
          </w:p>
        </w:tc>
        <w:tc>
          <w:tcPr>
            <w:tcW w:w="3507" w:type="dxa"/>
            <w:noWrap w:val="0"/>
            <w:vAlign w:val="center"/>
          </w:tcPr>
          <w:p>
            <w:pPr>
              <w:spacing w:line="240" w:lineRule="auto"/>
              <w:ind w:firstLine="0" w:firstLineChars="0"/>
              <w:rPr>
                <w:rFonts w:eastAsia="宋体"/>
                <w:color w:val="000000"/>
                <w:sz w:val="24"/>
                <w:szCs w:val="24"/>
              </w:rPr>
            </w:pPr>
            <w:r>
              <w:rPr>
                <w:color w:val="000000"/>
                <w:sz w:val="24"/>
                <w:szCs w:val="24"/>
              </w:rPr>
              <w:t>两级湿式喷淋设施，1根24m高排气筒DA003。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vMerge w:val="continue"/>
            <w:noWrap w:val="0"/>
            <w:vAlign w:val="center"/>
          </w:tcPr>
          <w:p>
            <w:pPr>
              <w:spacing w:line="240" w:lineRule="auto"/>
              <w:ind w:firstLine="0" w:firstLineChars="0"/>
              <w:jc w:val="center"/>
              <w:rPr>
                <w:color w:val="000000"/>
                <w:sz w:val="24"/>
                <w:szCs w:val="24"/>
              </w:rPr>
            </w:pPr>
          </w:p>
        </w:tc>
        <w:tc>
          <w:tcPr>
            <w:tcW w:w="2403" w:type="dxa"/>
            <w:noWrap w:val="0"/>
            <w:vAlign w:val="center"/>
          </w:tcPr>
          <w:p>
            <w:pPr>
              <w:spacing w:line="240" w:lineRule="auto"/>
              <w:ind w:firstLine="0" w:firstLineChars="0"/>
              <w:rPr>
                <w:color w:val="000000"/>
                <w:sz w:val="24"/>
                <w:szCs w:val="24"/>
              </w:rPr>
            </w:pPr>
            <w:r>
              <w:rPr>
                <w:color w:val="000000"/>
                <w:sz w:val="24"/>
                <w:szCs w:val="24"/>
              </w:rPr>
              <w:t>三车间药用碳酸氢钠装置干燥包装废气</w:t>
            </w:r>
          </w:p>
        </w:tc>
        <w:tc>
          <w:tcPr>
            <w:tcW w:w="3507" w:type="dxa"/>
            <w:noWrap w:val="0"/>
            <w:vAlign w:val="center"/>
          </w:tcPr>
          <w:p>
            <w:pPr>
              <w:spacing w:line="240" w:lineRule="auto"/>
              <w:ind w:firstLine="0" w:firstLineChars="0"/>
              <w:rPr>
                <w:color w:val="000000"/>
                <w:sz w:val="24"/>
                <w:szCs w:val="24"/>
              </w:rPr>
            </w:pPr>
            <w:r>
              <w:rPr>
                <w:color w:val="000000"/>
                <w:sz w:val="24"/>
                <w:szCs w:val="24"/>
              </w:rPr>
              <w:t>袋式除尘器+湿式除尘器、1根24m高排气筒DA004排放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vMerge w:val="continue"/>
            <w:noWrap w:val="0"/>
            <w:vAlign w:val="center"/>
          </w:tcPr>
          <w:p>
            <w:pPr>
              <w:spacing w:line="240" w:lineRule="auto"/>
              <w:ind w:firstLine="0" w:firstLineChars="0"/>
              <w:jc w:val="center"/>
              <w:rPr>
                <w:color w:val="000000"/>
                <w:sz w:val="24"/>
                <w:szCs w:val="24"/>
              </w:rPr>
            </w:pPr>
          </w:p>
        </w:tc>
        <w:tc>
          <w:tcPr>
            <w:tcW w:w="2403" w:type="dxa"/>
            <w:noWrap w:val="0"/>
            <w:vAlign w:val="center"/>
          </w:tcPr>
          <w:p>
            <w:pPr>
              <w:spacing w:line="240" w:lineRule="auto"/>
              <w:ind w:firstLine="0" w:firstLineChars="0"/>
              <w:rPr>
                <w:color w:val="000000"/>
                <w:sz w:val="24"/>
                <w:szCs w:val="24"/>
              </w:rPr>
            </w:pPr>
            <w:r>
              <w:rPr>
                <w:color w:val="000000"/>
                <w:sz w:val="24"/>
                <w:szCs w:val="24"/>
              </w:rPr>
              <w:t>化验室废气处理设施</w:t>
            </w:r>
          </w:p>
        </w:tc>
        <w:tc>
          <w:tcPr>
            <w:tcW w:w="3507" w:type="dxa"/>
            <w:noWrap w:val="0"/>
            <w:vAlign w:val="center"/>
          </w:tcPr>
          <w:p>
            <w:pPr>
              <w:spacing w:line="240" w:lineRule="auto"/>
              <w:ind w:firstLine="0" w:firstLineChars="0"/>
              <w:rPr>
                <w:color w:val="000000"/>
                <w:sz w:val="24"/>
                <w:szCs w:val="24"/>
              </w:rPr>
            </w:pPr>
            <w:r>
              <w:rPr>
                <w:color w:val="000000"/>
                <w:sz w:val="24"/>
                <w:szCs w:val="24"/>
              </w:rPr>
              <w:t>一套活性炭吸附装置、1个通风橱、1根15m高排气筒DA005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color w:val="000000"/>
                <w:sz w:val="24"/>
                <w:szCs w:val="24"/>
              </w:rPr>
            </w:pPr>
          </w:p>
        </w:tc>
        <w:tc>
          <w:tcPr>
            <w:tcW w:w="1823" w:type="dxa"/>
            <w:vMerge w:val="continue"/>
            <w:noWrap w:val="0"/>
            <w:vAlign w:val="center"/>
          </w:tcPr>
          <w:p>
            <w:pPr>
              <w:spacing w:line="240" w:lineRule="auto"/>
              <w:ind w:firstLine="0" w:firstLineChars="0"/>
              <w:jc w:val="center"/>
              <w:rPr>
                <w:color w:val="000000"/>
                <w:sz w:val="24"/>
                <w:szCs w:val="24"/>
              </w:rPr>
            </w:pPr>
          </w:p>
        </w:tc>
        <w:tc>
          <w:tcPr>
            <w:tcW w:w="2403" w:type="dxa"/>
            <w:noWrap w:val="0"/>
            <w:vAlign w:val="center"/>
          </w:tcPr>
          <w:p>
            <w:pPr>
              <w:spacing w:line="240" w:lineRule="auto"/>
              <w:ind w:firstLine="0" w:firstLineChars="0"/>
              <w:rPr>
                <w:color w:val="000000"/>
                <w:sz w:val="24"/>
                <w:szCs w:val="24"/>
              </w:rPr>
            </w:pPr>
            <w:r>
              <w:rPr>
                <w:color w:val="000000"/>
                <w:sz w:val="24"/>
                <w:szCs w:val="24"/>
              </w:rPr>
              <w:t>两个盐酸储槽呼吸废气处理装置</w:t>
            </w:r>
          </w:p>
        </w:tc>
        <w:tc>
          <w:tcPr>
            <w:tcW w:w="3507" w:type="dxa"/>
            <w:noWrap w:val="0"/>
            <w:vAlign w:val="center"/>
          </w:tcPr>
          <w:p>
            <w:pPr>
              <w:spacing w:line="240" w:lineRule="auto"/>
              <w:ind w:firstLine="0" w:firstLineChars="0"/>
              <w:rPr>
                <w:color w:val="000000"/>
                <w:sz w:val="24"/>
                <w:szCs w:val="24"/>
              </w:rPr>
            </w:pPr>
            <w:r>
              <w:rPr>
                <w:color w:val="000000"/>
                <w:sz w:val="24"/>
                <w:szCs w:val="24"/>
              </w:rPr>
              <w:t>碱溶液吸收装置处理储槽呼吸废气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b/>
                <w:bCs/>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废水</w:t>
            </w:r>
          </w:p>
        </w:tc>
        <w:tc>
          <w:tcPr>
            <w:tcW w:w="5910" w:type="dxa"/>
            <w:gridSpan w:val="2"/>
            <w:noWrap w:val="0"/>
            <w:vAlign w:val="center"/>
          </w:tcPr>
          <w:p>
            <w:pPr>
              <w:spacing w:line="240" w:lineRule="auto"/>
              <w:ind w:firstLine="0" w:firstLineChars="0"/>
              <w:rPr>
                <w:b/>
                <w:bCs/>
                <w:color w:val="000000"/>
                <w:sz w:val="24"/>
                <w:szCs w:val="24"/>
              </w:rPr>
            </w:pPr>
            <w:r>
              <w:rPr>
                <w:color w:val="000000"/>
                <w:sz w:val="24"/>
                <w:szCs w:val="24"/>
              </w:rPr>
              <w:t>废水排入天津泰达威立雅水务有限公司污水处理厂处理。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b/>
                <w:bCs/>
                <w:color w:val="000000"/>
                <w:sz w:val="24"/>
                <w:szCs w:val="24"/>
              </w:rPr>
            </w:pPr>
          </w:p>
        </w:tc>
        <w:tc>
          <w:tcPr>
            <w:tcW w:w="1823" w:type="dxa"/>
            <w:noWrap w:val="0"/>
            <w:vAlign w:val="center"/>
          </w:tcPr>
          <w:p>
            <w:pPr>
              <w:spacing w:line="240" w:lineRule="auto"/>
              <w:ind w:firstLine="0" w:firstLineChars="0"/>
              <w:jc w:val="center"/>
              <w:rPr>
                <w:color w:val="000000"/>
                <w:sz w:val="24"/>
                <w:szCs w:val="24"/>
              </w:rPr>
            </w:pPr>
            <w:r>
              <w:rPr>
                <w:color w:val="000000"/>
                <w:sz w:val="24"/>
                <w:szCs w:val="24"/>
              </w:rPr>
              <w:t>噪声</w:t>
            </w:r>
          </w:p>
        </w:tc>
        <w:tc>
          <w:tcPr>
            <w:tcW w:w="5910" w:type="dxa"/>
            <w:gridSpan w:val="2"/>
            <w:noWrap w:val="0"/>
            <w:vAlign w:val="center"/>
          </w:tcPr>
          <w:p>
            <w:pPr>
              <w:spacing w:line="240" w:lineRule="auto"/>
              <w:ind w:firstLine="0" w:firstLineChars="0"/>
              <w:rPr>
                <w:b/>
                <w:bCs/>
                <w:color w:val="000000"/>
                <w:sz w:val="24"/>
                <w:szCs w:val="24"/>
              </w:rPr>
            </w:pPr>
            <w:r>
              <w:rPr>
                <w:color w:val="000000"/>
                <w:sz w:val="24"/>
                <w:szCs w:val="24"/>
              </w:rPr>
              <w:t>选用低噪声设备，隔声减振。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b/>
                <w:bCs/>
                <w:color w:val="000000"/>
                <w:sz w:val="24"/>
                <w:szCs w:val="24"/>
              </w:rPr>
            </w:pPr>
          </w:p>
        </w:tc>
        <w:tc>
          <w:tcPr>
            <w:tcW w:w="1823" w:type="dxa"/>
            <w:vMerge w:val="restart"/>
            <w:noWrap w:val="0"/>
            <w:vAlign w:val="center"/>
          </w:tcPr>
          <w:p>
            <w:pPr>
              <w:spacing w:line="240" w:lineRule="auto"/>
              <w:ind w:firstLine="0" w:firstLineChars="0"/>
              <w:jc w:val="center"/>
              <w:rPr>
                <w:color w:val="000000"/>
                <w:sz w:val="24"/>
                <w:szCs w:val="24"/>
              </w:rPr>
            </w:pPr>
            <w:r>
              <w:rPr>
                <w:color w:val="000000"/>
                <w:sz w:val="24"/>
                <w:szCs w:val="24"/>
              </w:rPr>
              <w:t>固体废物</w:t>
            </w:r>
          </w:p>
        </w:tc>
        <w:tc>
          <w:tcPr>
            <w:tcW w:w="2403" w:type="dxa"/>
            <w:noWrap w:val="0"/>
            <w:vAlign w:val="center"/>
          </w:tcPr>
          <w:p>
            <w:pPr>
              <w:spacing w:line="240" w:lineRule="auto"/>
              <w:ind w:firstLine="0" w:firstLineChars="0"/>
              <w:rPr>
                <w:color w:val="000000"/>
                <w:sz w:val="24"/>
                <w:szCs w:val="24"/>
              </w:rPr>
            </w:pPr>
            <w:r>
              <w:rPr>
                <w:color w:val="000000"/>
                <w:sz w:val="24"/>
                <w:szCs w:val="24"/>
              </w:rPr>
              <w:t>一般固体废物暂存间</w:t>
            </w:r>
          </w:p>
        </w:tc>
        <w:tc>
          <w:tcPr>
            <w:tcW w:w="3507" w:type="dxa"/>
            <w:noWrap w:val="0"/>
            <w:vAlign w:val="center"/>
          </w:tcPr>
          <w:p>
            <w:pPr>
              <w:spacing w:line="240" w:lineRule="auto"/>
              <w:ind w:firstLine="0" w:firstLineChars="0"/>
              <w:rPr>
                <w:b/>
                <w:bCs/>
                <w:color w:val="000000"/>
                <w:sz w:val="24"/>
                <w:szCs w:val="24"/>
              </w:rPr>
            </w:pPr>
            <w:r>
              <w:rPr>
                <w:color w:val="000000"/>
                <w:sz w:val="24"/>
                <w:szCs w:val="24"/>
              </w:rPr>
              <w:t>占地面积12m</w:t>
            </w:r>
            <w:r>
              <w:rPr>
                <w:color w:val="000000"/>
                <w:sz w:val="24"/>
                <w:szCs w:val="24"/>
                <w:vertAlign w:val="superscript"/>
              </w:rPr>
              <w:t>2</w:t>
            </w:r>
            <w:r>
              <w:rPr>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dxa"/>
            <w:vMerge w:val="continue"/>
            <w:noWrap w:val="0"/>
            <w:vAlign w:val="center"/>
          </w:tcPr>
          <w:p>
            <w:pPr>
              <w:spacing w:line="240" w:lineRule="auto"/>
              <w:ind w:firstLine="0" w:firstLineChars="0"/>
              <w:jc w:val="center"/>
              <w:rPr>
                <w:b/>
                <w:bCs/>
                <w:color w:val="000000"/>
                <w:sz w:val="24"/>
                <w:szCs w:val="24"/>
              </w:rPr>
            </w:pPr>
          </w:p>
        </w:tc>
        <w:tc>
          <w:tcPr>
            <w:tcW w:w="1823" w:type="dxa"/>
            <w:vMerge w:val="continue"/>
            <w:noWrap w:val="0"/>
            <w:vAlign w:val="center"/>
          </w:tcPr>
          <w:p>
            <w:pPr>
              <w:spacing w:line="240" w:lineRule="auto"/>
              <w:ind w:firstLine="0" w:firstLineChars="0"/>
              <w:jc w:val="center"/>
              <w:rPr>
                <w:color w:val="000000"/>
                <w:sz w:val="24"/>
                <w:szCs w:val="24"/>
              </w:rPr>
            </w:pPr>
          </w:p>
        </w:tc>
        <w:tc>
          <w:tcPr>
            <w:tcW w:w="2403" w:type="dxa"/>
            <w:noWrap w:val="0"/>
            <w:vAlign w:val="center"/>
          </w:tcPr>
          <w:p>
            <w:pPr>
              <w:spacing w:line="240" w:lineRule="auto"/>
              <w:ind w:firstLine="0" w:firstLineChars="0"/>
              <w:rPr>
                <w:color w:val="000000"/>
                <w:sz w:val="24"/>
                <w:szCs w:val="24"/>
              </w:rPr>
            </w:pPr>
            <w:r>
              <w:rPr>
                <w:color w:val="000000"/>
                <w:sz w:val="24"/>
                <w:szCs w:val="24"/>
              </w:rPr>
              <w:t>危险废物暂存间</w:t>
            </w:r>
          </w:p>
        </w:tc>
        <w:tc>
          <w:tcPr>
            <w:tcW w:w="3507" w:type="dxa"/>
            <w:noWrap w:val="0"/>
            <w:vAlign w:val="center"/>
          </w:tcPr>
          <w:p>
            <w:pPr>
              <w:spacing w:line="240" w:lineRule="auto"/>
              <w:ind w:firstLine="0" w:firstLineChars="0"/>
              <w:rPr>
                <w:rFonts w:eastAsia="宋体"/>
                <w:b/>
                <w:bCs/>
                <w:color w:val="000000"/>
                <w:sz w:val="24"/>
                <w:szCs w:val="24"/>
              </w:rPr>
            </w:pPr>
            <w:r>
              <w:rPr>
                <w:color w:val="000000"/>
                <w:sz w:val="24"/>
                <w:szCs w:val="24"/>
              </w:rPr>
              <w:t>设有1座危险废物暂存间，占地面积为26m</w:t>
            </w:r>
            <w:r>
              <w:rPr>
                <w:color w:val="000000"/>
                <w:sz w:val="24"/>
                <w:szCs w:val="24"/>
                <w:vertAlign w:val="superscript"/>
              </w:rPr>
              <w:t>2</w:t>
            </w:r>
          </w:p>
        </w:tc>
      </w:tr>
    </w:tbl>
    <w:p>
      <w:pPr>
        <w:autoSpaceDE w:val="0"/>
        <w:autoSpaceDN w:val="0"/>
        <w:adjustRightInd w:val="0"/>
        <w:spacing w:line="240" w:lineRule="auto"/>
        <w:ind w:firstLine="0" w:firstLineChars="0"/>
        <w:rPr>
          <w:color w:val="000000"/>
          <w:kern w:val="0"/>
          <w:sz w:val="24"/>
          <w:szCs w:val="24"/>
        </w:rPr>
      </w:pPr>
    </w:p>
    <w:p>
      <w:pPr>
        <w:ind w:firstLine="0" w:firstLineChars="0"/>
        <w:rPr>
          <w:color w:val="000000"/>
        </w:rPr>
      </w:pPr>
    </w:p>
    <w:p>
      <w:pPr>
        <w:ind w:firstLine="0" w:firstLineChars="0"/>
        <w:rPr>
          <w:color w:val="000000"/>
        </w:rPr>
      </w:pPr>
    </w:p>
    <w:p>
      <w:pPr>
        <w:ind w:firstLine="0" w:firstLineChars="0"/>
        <w:rPr>
          <w:color w:val="000000"/>
        </w:rPr>
        <w:sectPr>
          <w:pgSz w:w="11906" w:h="16838"/>
          <w:pgMar w:top="1440" w:right="1800" w:bottom="1440" w:left="1800" w:header="851" w:footer="992" w:gutter="0"/>
          <w:cols w:space="720" w:num="1"/>
          <w:docGrid w:type="linesAndChars" w:linePitch="312" w:charSpace="0"/>
        </w:sectPr>
      </w:pPr>
    </w:p>
    <w:p>
      <w:pPr>
        <w:pStyle w:val="3"/>
        <w:rPr>
          <w:color w:val="000000"/>
        </w:rPr>
      </w:pPr>
      <w:bookmarkStart w:id="13" w:name="_Toc120195375"/>
      <w:r>
        <w:rPr>
          <w:color w:val="000000"/>
        </w:rPr>
        <w:t>3环境风险源辨识与风险评估</w:t>
      </w:r>
      <w:bookmarkEnd w:id="13"/>
    </w:p>
    <w:p>
      <w:pPr>
        <w:ind w:firstLine="560"/>
        <w:rPr>
          <w:color w:val="000000"/>
        </w:rPr>
      </w:pPr>
      <w:r>
        <w:rPr>
          <w:color w:val="000000"/>
        </w:rPr>
        <w:t>根据《天津海光药业股份有限公司突发环境事件风险评估报告》，本公司同时涉及突发大气和突发水环境事件风险的企业，风险等级表示为“较大[较大-大气（Q1-M2-E1）+一般-水（Q1-M1-E2）]”，有关详细内容参见风险评估报告，其主要内容如下：</w:t>
      </w:r>
    </w:p>
    <w:p>
      <w:pPr>
        <w:ind w:firstLine="560"/>
        <w:rPr>
          <w:color w:val="000000"/>
        </w:rPr>
      </w:pPr>
      <w:r>
        <w:rPr>
          <w:color w:val="000000"/>
        </w:rPr>
        <w:t>（1）参照《企业突发环境事件风险分级方法》中的评估项目（企业生产工艺、环境风险防控措施、环评及批复落实情况、废水排放去向等）对本公司的生产工艺与环境风险控制水平进行评估。本公司生产工艺不涉及表中所列危险工艺过程及国家规定的禁用工艺设备；本公司主要的突发环境事件类型包括火灾爆炸事故、泄漏事故及环保治理设施异常事故等，风险单元包括制药一车间、制药二车间、室外装置区（碳化区）、储罐区、化验室、原辅料库、危废暂存间、废气治理设施等，现有防控措施包括罐区围堰、</w:t>
      </w:r>
      <w:r>
        <w:rPr>
          <w:rFonts w:hint="eastAsia"/>
          <w:color w:val="000000"/>
        </w:rPr>
        <w:t>应急</w:t>
      </w:r>
      <w:r>
        <w:rPr>
          <w:color w:val="000000"/>
        </w:rPr>
        <w:t>事故罐、环形导流沟、截止阀</w:t>
      </w:r>
      <w:r>
        <w:rPr>
          <w:rFonts w:hint="eastAsia"/>
          <w:color w:val="000000"/>
        </w:rPr>
        <w:t>、</w:t>
      </w:r>
      <w:r>
        <w:rPr>
          <w:color w:val="000000"/>
        </w:rPr>
        <w:t>应急沙袋等，可有效防止泄漏品流出厂外。</w:t>
      </w:r>
    </w:p>
    <w:p>
      <w:pPr>
        <w:ind w:firstLine="560"/>
        <w:rPr>
          <w:color w:val="000000"/>
        </w:rPr>
      </w:pPr>
      <w:r>
        <w:rPr>
          <w:color w:val="000000"/>
        </w:rPr>
        <w:t>（2）参考《企业突发环境事件风险分级方法》，分析本公司涉及物质中的环境风险情况。</w:t>
      </w:r>
    </w:p>
    <w:p>
      <w:pPr>
        <w:ind w:firstLine="560"/>
        <w:rPr>
          <w:color w:val="000000"/>
        </w:rPr>
      </w:pPr>
      <w:r>
        <w:rPr>
          <w:color w:val="000000"/>
        </w:rPr>
        <w:t>（3）本企业环境风险等级为“较大[较大-大气（Q1-M2-E1）+一般-水（Q1-M1-E2）]”。</w:t>
      </w:r>
    </w:p>
    <w:p>
      <w:pPr>
        <w:ind w:firstLine="560"/>
        <w:rPr>
          <w:color w:val="000000"/>
        </w:rPr>
      </w:pPr>
      <w:r>
        <w:rPr>
          <w:color w:val="000000"/>
        </w:rPr>
        <w:t>（4）本公司环境风险事故类型有：火灾/爆炸次生衍生事故、泄漏事故、环保治理设施异常事故等突发环境事件。公司对不同事故类型对应设置了风险防控和应急处置措施，并配备了相应的应急物资。</w:t>
      </w:r>
    </w:p>
    <w:p>
      <w:pPr>
        <w:ind w:firstLine="560"/>
        <w:rPr>
          <w:color w:val="000000"/>
        </w:rPr>
        <w:sectPr>
          <w:pgSz w:w="11906" w:h="16838"/>
          <w:pgMar w:top="1440" w:right="1800" w:bottom="1440" w:left="1800" w:header="851" w:footer="992" w:gutter="0"/>
          <w:cols w:space="720" w:num="1"/>
          <w:docGrid w:type="linesAndChars" w:linePitch="312" w:charSpace="0"/>
        </w:sectPr>
      </w:pPr>
    </w:p>
    <w:p>
      <w:pPr>
        <w:pStyle w:val="3"/>
        <w:rPr>
          <w:color w:val="000000"/>
        </w:rPr>
      </w:pPr>
      <w:bookmarkStart w:id="14" w:name="_Toc120195376"/>
      <w:r>
        <w:rPr>
          <w:color w:val="000000"/>
        </w:rPr>
        <w:t>4组织机构及职责</w:t>
      </w:r>
      <w:bookmarkEnd w:id="14"/>
    </w:p>
    <w:p>
      <w:pPr>
        <w:ind w:firstLine="560"/>
        <w:rPr>
          <w:color w:val="000000"/>
        </w:rPr>
      </w:pPr>
      <w:r>
        <w:rPr>
          <w:color w:val="000000"/>
        </w:rPr>
        <w:t>公司建立应急组织机构，负责紧急情况下人员和资源配置、应急反应小组人员调动、确定现场指挥人员、调查事故原因、批准预案的启动和终止、负责事故的上报及预案演练等。</w:t>
      </w:r>
    </w:p>
    <w:p>
      <w:pPr>
        <w:pStyle w:val="4"/>
        <w:rPr>
          <w:color w:val="000000"/>
        </w:rPr>
      </w:pPr>
      <w:bookmarkStart w:id="15" w:name="_Toc120195377"/>
      <w:r>
        <w:rPr>
          <w:color w:val="000000"/>
        </w:rPr>
        <w:t>4.1应急组织机构组成</w:t>
      </w:r>
      <w:bookmarkEnd w:id="15"/>
    </w:p>
    <w:p>
      <w:pPr>
        <w:ind w:firstLine="560"/>
        <w:rPr>
          <w:color w:val="000000"/>
        </w:rPr>
      </w:pPr>
      <w:r>
        <w:rPr>
          <w:color w:val="000000"/>
        </w:rPr>
        <w:t>依据突发环境事件危害程度的级别分级设置应急救援组织机构，结合天津海光药业股份有限公司的实际需要，指挥系统设突发环境事件应急指挥部，下设应急总指挥、应急副总指挥、应急办公室。环境应急小组设有通讯联络组、现场抢险组、环境应急组、后勤保障组、疏散引导组5个应急工作小组，由各部门及各生产车间相关人员组成。</w:t>
      </w:r>
    </w:p>
    <w:p>
      <w:pPr>
        <w:ind w:firstLine="0" w:firstLineChars="0"/>
        <w:jc w:val="center"/>
        <w:rPr>
          <w:color w:val="000000"/>
        </w:rPr>
      </w:pPr>
      <w:r>
        <w:rPr>
          <w:color w:val="000000"/>
          <w:szCs w:val="24"/>
        </w:rPr>
        <mc:AlternateContent>
          <mc:Choice Requires="wps">
            <w:drawing>
              <wp:anchor distT="0" distB="0" distL="114300" distR="114300" simplePos="0" relativeHeight="251676672" behindDoc="0" locked="0" layoutInCell="1" allowOverlap="1">
                <wp:simplePos x="0" y="0"/>
                <wp:positionH relativeFrom="column">
                  <wp:posOffset>1935480</wp:posOffset>
                </wp:positionH>
                <wp:positionV relativeFrom="paragraph">
                  <wp:posOffset>100965</wp:posOffset>
                </wp:positionV>
                <wp:extent cx="1424940" cy="1209675"/>
                <wp:effectExtent l="4445" t="4445" r="18415" b="5080"/>
                <wp:wrapNone/>
                <wp:docPr id="21" name="矩形 21"/>
                <wp:cNvGraphicFramePr/>
                <a:graphic xmlns:a="http://schemas.openxmlformats.org/drawingml/2006/main">
                  <a:graphicData uri="http://schemas.microsoft.com/office/word/2010/wordprocessingShape">
                    <wps:wsp>
                      <wps:cNvSpPr/>
                      <wps:spPr>
                        <a:xfrm>
                          <a:off x="0" y="0"/>
                          <a:ext cx="1424940" cy="1209675"/>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152.4pt;margin-top:7.95pt;height:95.25pt;width:112.2pt;z-index:251676672;mso-width-relative:page;mso-height-relative:page;" filled="f" stroked="t" coordsize="21600,21600" o:gfxdata="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QK+21wAAAAoBAAAPAAAAAAAAAAEAIAAAACIAAABkcnMvZG93bnJldi54bWxQ&#10;SwECFAAUAAAACACHTuJAguXmA/gBAAD3AwAADgAAAAAAAAABACAAAAAmAQAAZHJzL2Uyb0RvYy54&#10;bWxQSwUGAAAAAAYABgBZAQAAkAUAAAAA&#10;">
                <v:fill on="f" focussize="0,0"/>
                <v:stroke color="#000000" joinstyle="miter" dashstyle="dash"/>
                <v:imagedata o:title=""/>
                <o:lock v:ext="edit" aspectratio="f"/>
              </v:rect>
            </w:pict>
          </mc:Fallback>
        </mc:AlternateContent>
      </w:r>
      <w:r>
        <w:rPr>
          <w:color w:val="000000"/>
          <w:szCs w:val="24"/>
        </w:rPr>
        <mc:AlternateContent>
          <mc:Choice Requires="wps">
            <w:drawing>
              <wp:anchor distT="0" distB="0" distL="114300" distR="114300" simplePos="0" relativeHeight="251659264" behindDoc="0" locked="0" layoutInCell="1" allowOverlap="1">
                <wp:simplePos x="0" y="0"/>
                <wp:positionH relativeFrom="column">
                  <wp:posOffset>2190750</wp:posOffset>
                </wp:positionH>
                <wp:positionV relativeFrom="paragraph">
                  <wp:posOffset>298450</wp:posOffset>
                </wp:positionV>
                <wp:extent cx="963930" cy="292100"/>
                <wp:effectExtent l="5080" t="4445" r="6350" b="8255"/>
                <wp:wrapNone/>
                <wp:docPr id="16" name="矩形 16"/>
                <wp:cNvGraphicFramePr/>
                <a:graphic xmlns:a="http://schemas.openxmlformats.org/drawingml/2006/main">
                  <a:graphicData uri="http://schemas.microsoft.com/office/word/2010/wordprocessingShape">
                    <wps:wsp>
                      <wps:cNvSpPr/>
                      <wps:spPr>
                        <a:xfrm>
                          <a:off x="0" y="0"/>
                          <a:ext cx="96393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sz w:val="24"/>
                                <w:szCs w:val="24"/>
                              </w:rPr>
                            </w:pPr>
                            <w:r>
                              <w:rPr>
                                <w:sz w:val="24"/>
                                <w:szCs w:val="24"/>
                              </w:rPr>
                              <w:t>应急</w:t>
                            </w:r>
                            <w:r>
                              <w:rPr>
                                <w:rFonts w:hint="eastAsia"/>
                                <w:sz w:val="24"/>
                                <w:szCs w:val="24"/>
                              </w:rPr>
                              <w:t>总指挥</w:t>
                            </w:r>
                          </w:p>
                        </w:txbxContent>
                      </wps:txbx>
                      <wps:bodyPr upright="1"/>
                    </wps:wsp>
                  </a:graphicData>
                </a:graphic>
              </wp:anchor>
            </w:drawing>
          </mc:Choice>
          <mc:Fallback>
            <w:pict>
              <v:rect id="_x0000_s1026" o:spid="_x0000_s1026" o:spt="1" style="position:absolute;left:0pt;margin-left:172.5pt;margin-top:23.5pt;height:23pt;width:75.9pt;z-index:251659264;mso-width-relative:page;mso-height-relative:page;" fillcolor="#FFFFFF" filled="t" stroked="t" coordsize="21600,21600" o:gfxdata="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5TAINgAAAAJAQAADwAAAAAAAAABACAAAAAiAAAAZHJz&#10;L2Rvd25yZXYueG1sUEsBAhQAFAAAAAgAh07iQBE5sggEAgAAKgQAAA4AAAAAAAAAAQAgAAAAJwEA&#10;AGRycy9lMm9Eb2MueG1sUEsFBgAAAAAGAAYAWQEAAJ0FAAAAAA==&#10;">
                <v:fill on="t" focussize="0,0"/>
                <v:stroke color="#000000" joinstyle="miter"/>
                <v:imagedata o:title=""/>
                <o:lock v:ext="edit" aspectratio="f"/>
                <v:textbox>
                  <w:txbxContent>
                    <w:p>
                      <w:pPr>
                        <w:spacing w:line="240" w:lineRule="auto"/>
                        <w:ind w:firstLine="0" w:firstLineChars="0"/>
                        <w:rPr>
                          <w:sz w:val="24"/>
                          <w:szCs w:val="24"/>
                        </w:rPr>
                      </w:pPr>
                      <w:r>
                        <w:rPr>
                          <w:sz w:val="24"/>
                          <w:szCs w:val="24"/>
                        </w:rPr>
                        <w:t>应急</w:t>
                      </w:r>
                      <w:r>
                        <w:rPr>
                          <w:rFonts w:hint="eastAsia"/>
                          <w:sz w:val="24"/>
                          <w:szCs w:val="24"/>
                        </w:rPr>
                        <w:t>总指挥</w:t>
                      </w:r>
                    </w:p>
                  </w:txbxContent>
                </v:textbox>
              </v:rect>
            </w:pict>
          </mc:Fallback>
        </mc:AlternateContent>
      </w:r>
    </w:p>
    <w:p>
      <w:pPr>
        <w:pStyle w:val="2"/>
        <w:rPr>
          <w:rFonts w:ascii="Times New Roman" w:hAnsi="Times New Roman" w:cs="Times New Roman"/>
        </w:rPr>
      </w:pPr>
      <w:r>
        <mc:AlternateContent>
          <mc:Choice Requires="wps">
            <w:drawing>
              <wp:anchor distT="0" distB="0" distL="114300" distR="114300" simplePos="0" relativeHeight="251678720" behindDoc="0" locked="0" layoutInCell="1" allowOverlap="1">
                <wp:simplePos x="0" y="0"/>
                <wp:positionH relativeFrom="column">
                  <wp:posOffset>550545</wp:posOffset>
                </wp:positionH>
                <wp:positionV relativeFrom="paragraph">
                  <wp:posOffset>109220</wp:posOffset>
                </wp:positionV>
                <wp:extent cx="982980" cy="292100"/>
                <wp:effectExtent l="4445" t="4445" r="18415" b="8255"/>
                <wp:wrapNone/>
                <wp:docPr id="24" name="矩形 24"/>
                <wp:cNvGraphicFramePr/>
                <a:graphic xmlns:a="http://schemas.openxmlformats.org/drawingml/2006/main">
                  <a:graphicData uri="http://schemas.microsoft.com/office/word/2010/wordprocessingShape">
                    <wps:wsp>
                      <wps:cNvSpPr/>
                      <wps:spPr>
                        <a:xfrm>
                          <a:off x="0" y="0"/>
                          <a:ext cx="98298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sz w:val="24"/>
                                <w:szCs w:val="24"/>
                              </w:rPr>
                            </w:pPr>
                            <w:r>
                              <w:rPr>
                                <w:rFonts w:hint="eastAsia"/>
                                <w:sz w:val="24"/>
                                <w:szCs w:val="24"/>
                              </w:rPr>
                              <w:t>应急指挥部</w:t>
                            </w:r>
                          </w:p>
                        </w:txbxContent>
                      </wps:txbx>
                      <wps:bodyPr upright="1"/>
                    </wps:wsp>
                  </a:graphicData>
                </a:graphic>
              </wp:anchor>
            </w:drawing>
          </mc:Choice>
          <mc:Fallback>
            <w:pict>
              <v:rect id="_x0000_s1026" o:spid="_x0000_s1026" o:spt="1" style="position:absolute;left:0pt;margin-left:43.35pt;margin-top:8.6pt;height:23pt;width:77.4pt;z-index:251678720;mso-width-relative:page;mso-height-relative:page;" fillcolor="#FFFFFF" filled="t" stroked="t" coordsize="21600,21600" o:gfxdata="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NRxjNcAAAAIAQAADwAAAAAAAAABACAAAAAiAAAAZHJzL2Rv&#10;d25yZXYueG1sUEsBAhQAFAAAAAgAh07iQAXjFlICAgAAKgQAAA4AAAAAAAAAAQAgAAAAJgEAAGRy&#10;cy9lMm9Eb2MueG1sUEsFBgAAAAAGAAYAWQEAAJoFAAAAAA==&#10;">
                <v:fill on="t" focussize="0,0"/>
                <v:stroke color="#000000" joinstyle="miter"/>
                <v:imagedata o:title=""/>
                <o:lock v:ext="edit" aspectratio="f"/>
                <v:textbox>
                  <w:txbxContent>
                    <w:p>
                      <w:pPr>
                        <w:spacing w:line="240" w:lineRule="auto"/>
                        <w:ind w:firstLine="0" w:firstLineChars="0"/>
                        <w:rPr>
                          <w:sz w:val="24"/>
                          <w:szCs w:val="24"/>
                        </w:rPr>
                      </w:pPr>
                      <w:r>
                        <w:rPr>
                          <w:rFonts w:hint="eastAsia"/>
                          <w:sz w:val="24"/>
                          <w:szCs w:val="24"/>
                        </w:rPr>
                        <w:t>应急指挥部</w:t>
                      </w:r>
                    </w:p>
                  </w:txbxContent>
                </v:textbox>
              </v:rect>
            </w:pict>
          </mc:Fallback>
        </mc:AlternateContent>
      </w:r>
    </w:p>
    <w:p>
      <w:pPr>
        <w:widowControl/>
        <w:spacing w:line="240" w:lineRule="auto"/>
        <w:ind w:firstLine="0" w:firstLineChars="0"/>
        <w:jc w:val="center"/>
        <w:rPr>
          <w:color w:val="000000"/>
          <w:kern w:val="0"/>
          <w:lang w:bidi="ar"/>
        </w:rPr>
      </w:pPr>
      <w:r>
        <w:rPr>
          <w:color w:val="000000"/>
          <w:szCs w:val="24"/>
        </w:rPr>
        <mc:AlternateContent>
          <mc:Choice Requires="wps">
            <w:drawing>
              <wp:anchor distT="0" distB="0" distL="114300" distR="114300" simplePos="0" relativeHeight="251677696" behindDoc="0" locked="0" layoutInCell="1" allowOverlap="1">
                <wp:simplePos x="0" y="0"/>
                <wp:positionH relativeFrom="column">
                  <wp:posOffset>1541145</wp:posOffset>
                </wp:positionH>
                <wp:positionV relativeFrom="paragraph">
                  <wp:posOffset>53340</wp:posOffset>
                </wp:positionV>
                <wp:extent cx="391795" cy="0"/>
                <wp:effectExtent l="0" t="38100" r="4445" b="38100"/>
                <wp:wrapNone/>
                <wp:docPr id="22" name="直接箭头连接符 22"/>
                <wp:cNvGraphicFramePr/>
                <a:graphic xmlns:a="http://schemas.openxmlformats.org/drawingml/2006/main">
                  <a:graphicData uri="http://schemas.microsoft.com/office/word/2010/wordprocessingShape">
                    <wps:wsp>
                      <wps:cNvCnPr/>
                      <wps:spPr>
                        <a:xfrm>
                          <a:off x="0" y="0"/>
                          <a:ext cx="39179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35pt;margin-top:4.2pt;height:0pt;width:30.85pt;z-index:251677696;mso-width-relative:page;mso-height-relative:page;" filled="f" stroked="t" coordsize="21600,21600" o:gfxdata="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CwO1wAAAAcBAAAPAAAAAAAAAAEAIAAAACIAAABkcnMv&#10;ZG93bnJldi54bWxQSwECFAAUAAAACACHTuJAMq+M+AQCAADxAwAADgAAAAAAAAABACAAAAAmAQAA&#10;ZHJzL2Uyb0RvYy54bWxQSwUGAAAAAAYABgBZAQAAnAUAAAAA&#10;">
                <v:fill on="f" focussize="0,0"/>
                <v:stroke color="#000000" joinstyle="round" endarrow="block"/>
                <v:imagedata o:title=""/>
                <o:lock v:ext="edit" aspectratio="f"/>
              </v:shape>
            </w:pict>
          </mc:Fallback>
        </mc:AlternateContent>
      </w:r>
      <w:r>
        <w:rPr>
          <w:color w:val="000000"/>
          <w:szCs w:val="24"/>
        </w:rPr>
        <mc:AlternateContent>
          <mc:Choice Requires="wps">
            <w:drawing>
              <wp:anchor distT="0" distB="0" distL="114300" distR="114300" simplePos="0" relativeHeight="251673600" behindDoc="0" locked="0" layoutInCell="1" allowOverlap="1">
                <wp:simplePos x="0" y="0"/>
                <wp:positionH relativeFrom="column">
                  <wp:posOffset>2114550</wp:posOffset>
                </wp:positionH>
                <wp:positionV relativeFrom="paragraph">
                  <wp:posOffset>218440</wp:posOffset>
                </wp:positionV>
                <wp:extent cx="1116330" cy="292100"/>
                <wp:effectExtent l="4445" t="4445" r="6985" b="8255"/>
                <wp:wrapNone/>
                <wp:docPr id="9" name="矩形 9"/>
                <wp:cNvGraphicFramePr/>
                <a:graphic xmlns:a="http://schemas.openxmlformats.org/drawingml/2006/main">
                  <a:graphicData uri="http://schemas.microsoft.com/office/word/2010/wordprocessingShape">
                    <wps:wsp>
                      <wps:cNvSpPr/>
                      <wps:spPr>
                        <a:xfrm>
                          <a:off x="0" y="0"/>
                          <a:ext cx="111633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sz w:val="24"/>
                                <w:szCs w:val="24"/>
                              </w:rPr>
                            </w:pPr>
                            <w:r>
                              <w:rPr>
                                <w:sz w:val="24"/>
                                <w:szCs w:val="24"/>
                              </w:rPr>
                              <w:t>应急副</w:t>
                            </w:r>
                            <w:r>
                              <w:rPr>
                                <w:rFonts w:hint="eastAsia"/>
                                <w:sz w:val="24"/>
                                <w:szCs w:val="24"/>
                              </w:rPr>
                              <w:t>总指挥</w:t>
                            </w:r>
                          </w:p>
                        </w:txbxContent>
                      </wps:txbx>
                      <wps:bodyPr upright="1"/>
                    </wps:wsp>
                  </a:graphicData>
                </a:graphic>
              </wp:anchor>
            </w:drawing>
          </mc:Choice>
          <mc:Fallback>
            <w:pict>
              <v:rect id="_x0000_s1026" o:spid="_x0000_s1026" o:spt="1" style="position:absolute;left:0pt;margin-left:166.5pt;margin-top:17.2pt;height:23pt;width:87.9pt;z-index:251673600;mso-width-relative:page;mso-height-relative:page;" fillcolor="#FFFFFF" filled="t" stroked="t" coordsize="21600,21600" o:gfxdata="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ztga/XAAAACQEAAA8AAAAAAAAAAQAgAAAAIgAAAGRycy9k&#10;b3ducmV2LnhtbFBLAQIUABQAAAAIAIdO4kC7QztPAwIAACkEAAAOAAAAAAAAAAEAIAAAACYBAABk&#10;cnMvZTJvRG9jLnhtbFBLBQYAAAAABgAGAFkBAACbBQAAAAA=&#10;">
                <v:fill on="t" focussize="0,0"/>
                <v:stroke color="#000000" joinstyle="miter"/>
                <v:imagedata o:title=""/>
                <o:lock v:ext="edit" aspectratio="f"/>
                <v:textbox>
                  <w:txbxContent>
                    <w:p>
                      <w:pPr>
                        <w:spacing w:line="240" w:lineRule="auto"/>
                        <w:ind w:firstLine="0" w:firstLineChars="0"/>
                        <w:rPr>
                          <w:sz w:val="24"/>
                          <w:szCs w:val="24"/>
                        </w:rPr>
                      </w:pPr>
                      <w:r>
                        <w:rPr>
                          <w:sz w:val="24"/>
                          <w:szCs w:val="24"/>
                        </w:rPr>
                        <w:t>应急副</w:t>
                      </w:r>
                      <w:r>
                        <w:rPr>
                          <w:rFonts w:hint="eastAsia"/>
                          <w:sz w:val="24"/>
                          <w:szCs w:val="24"/>
                        </w:rPr>
                        <w:t>总指挥</w:t>
                      </w:r>
                    </w:p>
                  </w:txbxContent>
                </v:textbox>
              </v:rect>
            </w:pict>
          </mc:Fallback>
        </mc:AlternateContent>
      </w:r>
    </w:p>
    <w:p>
      <w:pPr>
        <w:widowControl/>
        <w:spacing w:line="240" w:lineRule="auto"/>
        <w:ind w:firstLine="0" w:firstLineChars="0"/>
        <w:jc w:val="center"/>
        <w:rPr>
          <w:color w:val="000000"/>
          <w:kern w:val="0"/>
          <w:lang w:bidi="ar"/>
        </w:rPr>
      </w:pPr>
      <w:r>
        <w:rPr>
          <w:color w:val="000000"/>
          <w:szCs w:val="24"/>
        </w:rPr>
        <mc:AlternateContent>
          <mc:Choice Requires="wps">
            <w:drawing>
              <wp:anchor distT="0" distB="0" distL="114300" distR="114300" simplePos="0" relativeHeight="251672576" behindDoc="0" locked="0" layoutInCell="1" allowOverlap="1">
                <wp:simplePos x="0" y="0"/>
                <wp:positionH relativeFrom="column">
                  <wp:posOffset>2659380</wp:posOffset>
                </wp:positionH>
                <wp:positionV relativeFrom="paragraph">
                  <wp:posOffset>114300</wp:posOffset>
                </wp:positionV>
                <wp:extent cx="635" cy="1014730"/>
                <wp:effectExtent l="37465" t="0" r="38100" b="6350"/>
                <wp:wrapNone/>
                <wp:docPr id="25" name="直接箭头连接符 25"/>
                <wp:cNvGraphicFramePr/>
                <a:graphic xmlns:a="http://schemas.openxmlformats.org/drawingml/2006/main">
                  <a:graphicData uri="http://schemas.microsoft.com/office/word/2010/wordprocessingShape">
                    <wps:wsp>
                      <wps:cNvCnPr/>
                      <wps:spPr>
                        <a:xfrm>
                          <a:off x="0" y="0"/>
                          <a:ext cx="635" cy="10147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4pt;margin-top:9pt;height:79.9pt;width:0.05pt;z-index:251672576;mso-width-relative:page;mso-height-relative:page;" filled="f" stroked="t" coordsize="21600,21600" o:gfxdata="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79yZPYAAAACgEAAA8AAAAAAAAAAQAgAAAAIgAA&#10;AGRycy9kb3ducmV2LnhtbFBLAQIUABQAAAAIAIdO4kBfJd51CAIAAPQDAAAOAAAAAAAAAAEAIAAA&#10;ACcBAABkcnMvZTJvRG9jLnhtbFBLBQYAAAAABgAGAFkBAAChBQAAAAA=&#10;">
                <v:fill on="f" focussize="0,0"/>
                <v:stroke color="#000000" joinstyle="round" endarrow="block"/>
                <v:imagedata o:title=""/>
                <o:lock v:ext="edit" aspectratio="f"/>
              </v:shape>
            </w:pict>
          </mc:Fallback>
        </mc:AlternateContent>
      </w:r>
    </w:p>
    <w:p>
      <w:pPr>
        <w:widowControl/>
        <w:spacing w:line="240" w:lineRule="auto"/>
        <w:ind w:firstLine="0" w:firstLineChars="0"/>
        <w:jc w:val="center"/>
        <w:rPr>
          <w:color w:val="000000"/>
          <w:kern w:val="0"/>
          <w:lang w:bidi="ar"/>
        </w:rPr>
      </w:pPr>
      <w:r>
        <w:rPr>
          <w:color w:val="000000"/>
        </w:rPr>
        <mc:AlternateContent>
          <mc:Choice Requires="wps">
            <w:drawing>
              <wp:anchor distT="0" distB="0" distL="114300" distR="114300" simplePos="0" relativeHeight="251671552" behindDoc="0" locked="0" layoutInCell="1" allowOverlap="1">
                <wp:simplePos x="0" y="0"/>
                <wp:positionH relativeFrom="column">
                  <wp:posOffset>3512820</wp:posOffset>
                </wp:positionH>
                <wp:positionV relativeFrom="paragraph">
                  <wp:posOffset>144780</wp:posOffset>
                </wp:positionV>
                <wp:extent cx="982980" cy="292100"/>
                <wp:effectExtent l="4445" t="4445" r="18415" b="8255"/>
                <wp:wrapNone/>
                <wp:docPr id="19" name="矩形 19"/>
                <wp:cNvGraphicFramePr/>
                <a:graphic xmlns:a="http://schemas.openxmlformats.org/drawingml/2006/main">
                  <a:graphicData uri="http://schemas.microsoft.com/office/word/2010/wordprocessingShape">
                    <wps:wsp>
                      <wps:cNvSpPr/>
                      <wps:spPr>
                        <a:xfrm>
                          <a:off x="0" y="0"/>
                          <a:ext cx="98298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sz w:val="24"/>
                                <w:szCs w:val="24"/>
                              </w:rPr>
                            </w:pPr>
                            <w:r>
                              <w:rPr>
                                <w:rFonts w:hint="eastAsia"/>
                                <w:sz w:val="24"/>
                                <w:szCs w:val="24"/>
                              </w:rPr>
                              <w:t>应急</w:t>
                            </w:r>
                            <w:r>
                              <w:rPr>
                                <w:sz w:val="24"/>
                                <w:szCs w:val="24"/>
                              </w:rPr>
                              <w:t>办公室</w:t>
                            </w:r>
                          </w:p>
                        </w:txbxContent>
                      </wps:txbx>
                      <wps:bodyPr upright="1"/>
                    </wps:wsp>
                  </a:graphicData>
                </a:graphic>
              </wp:anchor>
            </w:drawing>
          </mc:Choice>
          <mc:Fallback>
            <w:pict>
              <v:rect id="_x0000_s1026" o:spid="_x0000_s1026" o:spt="1" style="position:absolute;left:0pt;margin-left:276.6pt;margin-top:11.4pt;height:23pt;width:77.4pt;z-index:251671552;mso-width-relative:page;mso-height-relative:page;" fillcolor="#FFFFFF" filled="t" stroked="t" coordsize="21600,21600" o:gfxdata="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E9W6dcAAAAJAQAADwAAAAAAAAABACAAAAAiAAAAZHJzL2Rv&#10;d25yZXYueG1sUEsBAhQAFAAAAAgAh07iQOZjZjQCAgAAKgQAAA4AAAAAAAAAAQAgAAAAJgEAAGRy&#10;cy9lMm9Eb2MueG1sUEsFBgAAAAAGAAYAWQEAAJoFAAAAAA==&#10;">
                <v:fill on="t" focussize="0,0"/>
                <v:stroke color="#000000" joinstyle="miter"/>
                <v:imagedata o:title=""/>
                <o:lock v:ext="edit" aspectratio="f"/>
                <v:textbox>
                  <w:txbxContent>
                    <w:p>
                      <w:pPr>
                        <w:spacing w:line="240" w:lineRule="auto"/>
                        <w:ind w:firstLine="0" w:firstLineChars="0"/>
                        <w:rPr>
                          <w:sz w:val="24"/>
                          <w:szCs w:val="24"/>
                        </w:rPr>
                      </w:pPr>
                      <w:r>
                        <w:rPr>
                          <w:rFonts w:hint="eastAsia"/>
                          <w:sz w:val="24"/>
                          <w:szCs w:val="24"/>
                        </w:rPr>
                        <w:t>应急</w:t>
                      </w:r>
                      <w:r>
                        <w:rPr>
                          <w:sz w:val="24"/>
                          <w:szCs w:val="24"/>
                        </w:rPr>
                        <w:t>办公室</w:t>
                      </w:r>
                    </w:p>
                  </w:txbxContent>
                </v:textbox>
              </v:rect>
            </w:pict>
          </mc:Fallback>
        </mc:AlternateContent>
      </w:r>
      <w:r>
        <w:rPr>
          <w:color w:val="000000"/>
          <w:kern w:val="0"/>
        </w:rPr>
        <mc:AlternateContent>
          <mc:Choice Requires="wps">
            <w:drawing>
              <wp:anchor distT="0" distB="0" distL="114300" distR="114300" simplePos="0" relativeHeight="251675648" behindDoc="0" locked="0" layoutInCell="1" allowOverlap="1">
                <wp:simplePos x="0" y="0"/>
                <wp:positionH relativeFrom="column">
                  <wp:posOffset>2659380</wp:posOffset>
                </wp:positionH>
                <wp:positionV relativeFrom="paragraph">
                  <wp:posOffset>281940</wp:posOffset>
                </wp:positionV>
                <wp:extent cx="852805" cy="0"/>
                <wp:effectExtent l="0" t="0" r="0" b="0"/>
                <wp:wrapNone/>
                <wp:docPr id="17" name="直接箭头连接符 17"/>
                <wp:cNvGraphicFramePr/>
                <a:graphic xmlns:a="http://schemas.openxmlformats.org/drawingml/2006/main">
                  <a:graphicData uri="http://schemas.microsoft.com/office/word/2010/wordprocessingShape">
                    <wps:wsp>
                      <wps:cNvCnPr/>
                      <wps:spPr>
                        <a:xfrm>
                          <a:off x="0" y="0"/>
                          <a:ext cx="8528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9.4pt;margin-top:22.2pt;height:0pt;width:67.15pt;z-index:251675648;mso-width-relative:page;mso-height-relative:page;" filled="f" stroked="t" coordsize="21600,21600" o:gfxdata="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BRTm9cAAAAJAQAADwAAAAAAAAABACAAAAAiAAAAZHJzL2Rvd25yZXYu&#10;eG1sUEsBAhQAFAAAAAgAh07iQFdWZA38AQAA7QMAAA4AAAAAAAAAAQAgAAAAJgEAAGRycy9lMm9E&#10;b2MueG1sUEsFBgAAAAAGAAYAWQEAAJQFAAAAAA==&#10;">
                <v:fill on="f" focussize="0,0"/>
                <v:stroke color="#000000" joinstyle="round"/>
                <v:imagedata o:title=""/>
                <o:lock v:ext="edit" aspectratio="f"/>
              </v:shape>
            </w:pict>
          </mc:Fallback>
        </mc:AlternateContent>
      </w:r>
    </w:p>
    <w:p>
      <w:pPr>
        <w:widowControl/>
        <w:spacing w:line="240" w:lineRule="auto"/>
        <w:ind w:firstLine="0" w:firstLineChars="0"/>
        <w:jc w:val="center"/>
        <w:rPr>
          <w:color w:val="000000"/>
          <w:kern w:val="0"/>
          <w:lang w:bidi="ar"/>
        </w:rPr>
      </w:pPr>
      <w:r>
        <w:rPr>
          <w:color w:val="000000"/>
        </w:rPr>
        <mc:AlternateContent>
          <mc:Choice Requires="wps">
            <w:drawing>
              <wp:anchor distT="0" distB="0" distL="114300" distR="114300" simplePos="0" relativeHeight="251664384" behindDoc="0" locked="0" layoutInCell="1" allowOverlap="1">
                <wp:simplePos x="0" y="0"/>
                <wp:positionH relativeFrom="column">
                  <wp:posOffset>3581400</wp:posOffset>
                </wp:positionH>
                <wp:positionV relativeFrom="paragraph">
                  <wp:posOffset>328930</wp:posOffset>
                </wp:positionV>
                <wp:extent cx="0" cy="222250"/>
                <wp:effectExtent l="38100" t="0" r="38100" b="6350"/>
                <wp:wrapNone/>
                <wp:docPr id="6" name="直接箭头连接符 6"/>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2pt;margin-top:25.9pt;height:17.5pt;width:0pt;z-index:251664384;mso-width-relative:page;mso-height-relative:page;" filled="f" stroked="t" coordsize="21600,21600" o:gfxdata="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PJpBdgAAAAJAQAADwAAAAAAAAABACAAAAAiAAAAZHJzL2Rv&#10;d25yZXYueG1sUEsBAhQAFAAAAAgAh07iQDC781wBAgAA7wMAAA4AAAAAAAAAAQAgAAAAJwEAAGRy&#10;cy9lMm9Eb2MueG1sUEsFBgAAAAAGAAYAWQEAAJoFAAAAAA==&#10;">
                <v:fill on="f" focussize="0,0"/>
                <v:stroke color="#000000" joinstyle="round" endarrow="block"/>
                <v:imagedata o:title=""/>
                <o:lock v:ext="edit" aspectratio="f"/>
              </v:shape>
            </w:pict>
          </mc:Fallback>
        </mc:AlternateContent>
      </w:r>
      <w:r>
        <w:rPr>
          <w:color w:val="000000"/>
        </w:rPr>
        <mc:AlternateContent>
          <mc:Choice Requires="wps">
            <w:drawing>
              <wp:anchor distT="0" distB="0" distL="114300" distR="114300" simplePos="0" relativeHeight="251663360" behindDoc="0" locked="0" layoutInCell="1" allowOverlap="1">
                <wp:simplePos x="0" y="0"/>
                <wp:positionH relativeFrom="column">
                  <wp:posOffset>2766060</wp:posOffset>
                </wp:positionH>
                <wp:positionV relativeFrom="paragraph">
                  <wp:posOffset>336550</wp:posOffset>
                </wp:positionV>
                <wp:extent cx="0" cy="222250"/>
                <wp:effectExtent l="38100" t="0" r="38100" b="6350"/>
                <wp:wrapNone/>
                <wp:docPr id="8" name="直接箭头连接符 8"/>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7.8pt;margin-top:26.5pt;height:17.5pt;width:0pt;z-index:251663360;mso-width-relative:page;mso-height-relative:page;" filled="f" stroked="t" coordsize="21600,21600" o:gfxdata="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EZWfYAAAACQEAAA8AAAAAAAAAAQAgAAAAIgAAAGRycy9k&#10;b3ducmV2LnhtbFBLAQIUABQAAAAIAIdO4kDia+9tAgIAAO8DAAAOAAAAAAAAAAEAIAAAACcBAABk&#10;cnMvZTJvRG9jLnhtbFBLBQYAAAAABgAGAFkBAACbBQAAAAA=&#10;">
                <v:fill on="f" focussize="0,0"/>
                <v:stroke color="#000000" joinstyle="round" endarrow="block"/>
                <v:imagedata o:title=""/>
                <o:lock v:ext="edit" aspectratio="f"/>
              </v:shape>
            </w:pict>
          </mc:Fallback>
        </mc:AlternateContent>
      </w:r>
      <w:r>
        <w:rPr>
          <w:color w:val="000000"/>
        </w:rPr>
        <mc:AlternateContent>
          <mc:Choice Requires="wps">
            <w:drawing>
              <wp:anchor distT="0" distB="0" distL="114300" distR="114300" simplePos="0" relativeHeight="251662336" behindDoc="0" locked="0" layoutInCell="1" allowOverlap="1">
                <wp:simplePos x="0" y="0"/>
                <wp:positionH relativeFrom="column">
                  <wp:posOffset>2026920</wp:posOffset>
                </wp:positionH>
                <wp:positionV relativeFrom="paragraph">
                  <wp:posOffset>336550</wp:posOffset>
                </wp:positionV>
                <wp:extent cx="0" cy="222250"/>
                <wp:effectExtent l="38100" t="0" r="38100" b="6350"/>
                <wp:wrapNone/>
                <wp:docPr id="10" name="直接箭头连接符 10"/>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9.6pt;margin-top:26.5pt;height:17.5pt;width:0pt;z-index:251662336;mso-width-relative:page;mso-height-relative:page;" filled="f" stroked="t" coordsize="21600,21600" o:gfxdata="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7ycRPZAAAACQEAAA8AAAAAAAAAAQAgAAAAIgAAAGRycy9k&#10;b3ducmV2LnhtbFBLAQIUABQAAAAIAIdO4kAURUAQAQIAAPEDAAAOAAAAAAAAAAEAIAAAACgBAABk&#10;cnMvZTJvRG9jLnhtbFBLBQYAAAAABgAGAFkBAACbBQAAAAA=&#10;">
                <v:fill on="f" focussize="0,0"/>
                <v:stroke color="#000000" joinstyle="round" endarrow="block"/>
                <v:imagedata o:title=""/>
                <o:lock v:ext="edit" aspectratio="f"/>
              </v:shape>
            </w:pict>
          </mc:Fallback>
        </mc:AlternateContent>
      </w:r>
      <w:r>
        <w:rPr>
          <w:color w:val="000000"/>
          <w:kern w:val="0"/>
        </w:rPr>
        <mc:AlternateContent>
          <mc:Choice Requires="wps">
            <w:drawing>
              <wp:anchor distT="0" distB="0" distL="114300" distR="114300" simplePos="0" relativeHeight="251660288" behindDoc="0" locked="0" layoutInCell="1" allowOverlap="1">
                <wp:simplePos x="0" y="0"/>
                <wp:positionH relativeFrom="column">
                  <wp:posOffset>1149350</wp:posOffset>
                </wp:positionH>
                <wp:positionV relativeFrom="paragraph">
                  <wp:posOffset>336550</wp:posOffset>
                </wp:positionV>
                <wp:extent cx="3346450" cy="0"/>
                <wp:effectExtent l="0" t="0" r="0" b="0"/>
                <wp:wrapNone/>
                <wp:docPr id="12" name="直接箭头连接符 12"/>
                <wp:cNvGraphicFramePr/>
                <a:graphic xmlns:a="http://schemas.openxmlformats.org/drawingml/2006/main">
                  <a:graphicData uri="http://schemas.microsoft.com/office/word/2010/wordprocessingShape">
                    <wps:wsp>
                      <wps:cNvCnPr/>
                      <wps:spPr>
                        <a:xfrm>
                          <a:off x="0" y="0"/>
                          <a:ext cx="33464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0.5pt;margin-top:26.5pt;height:0pt;width:263.5pt;z-index:251660288;mso-width-relative:page;mso-height-relative:page;" filled="f" stroked="t" coordsize="21600,21600" o:gfxdata="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a7RtdQAAAAJAQAADwAAAAAAAAABACAAAAAiAAAAZHJzL2Rvd25yZXYu&#10;eG1sUEsBAhQAFAAAAAgAh07iQBJZ5Jj/AQAA7gMAAA4AAAAAAAAAAQAgAAAAIwEAAGRycy9lMm9E&#10;b2MueG1sUEsFBgAAAAAGAAYAWQEAAJQFAAAAAA==&#10;">
                <v:fill on="f" focussize="0,0"/>
                <v:stroke color="#000000" joinstyle="round"/>
                <v:imagedata o:title=""/>
                <o:lock v:ext="edit" aspectratio="f"/>
              </v:shape>
            </w:pict>
          </mc:Fallback>
        </mc:AlternateContent>
      </w:r>
      <w:r>
        <w:rPr>
          <w:color w:val="000000"/>
        </w:rPr>
        <mc:AlternateContent>
          <mc:Choice Requires="wps">
            <w:drawing>
              <wp:anchor distT="0" distB="0" distL="114300" distR="114300" simplePos="0" relativeHeight="251674624" behindDoc="0" locked="0" layoutInCell="1" allowOverlap="1">
                <wp:simplePos x="0" y="0"/>
                <wp:positionH relativeFrom="column">
                  <wp:posOffset>2659380</wp:posOffset>
                </wp:positionH>
                <wp:positionV relativeFrom="paragraph">
                  <wp:posOffset>-1192530</wp:posOffset>
                </wp:positionV>
                <wp:extent cx="0" cy="222250"/>
                <wp:effectExtent l="38100" t="0" r="38100" b="6350"/>
                <wp:wrapNone/>
                <wp:docPr id="13" name="直接箭头连接符 13"/>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4pt;margin-top:-93.9pt;height:17.5pt;width:0pt;z-index:251674624;mso-width-relative:page;mso-height-relative:page;" filled="f" stroked="t" coordsize="21600,21600" o:gfxdata="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uCWW2wAAAA0BAAAPAAAAAAAAAAEAIAAAACIAAABk&#10;cnMvZG93bnJldi54bWxQSwECFAAUAAAACACHTuJAAg8gRQMCAADxAwAADgAAAAAAAAABACAAAAAq&#10;AQAAZHJzL2Uyb0RvYy54bWxQSwUGAAAAAAYABgBZAQAAnwUAAAAA&#10;">
                <v:fill on="f" focussize="0,0"/>
                <v:stroke color="#000000" joinstyle="round" endarrow="block"/>
                <v:imagedata o:title=""/>
                <o:lock v:ext="edit" aspectratio="f"/>
              </v:shape>
            </w:pict>
          </mc:Fallback>
        </mc:AlternateContent>
      </w:r>
      <w:r>
        <w:rPr>
          <w:color w:val="000000"/>
        </w:rPr>
        <mc:AlternateContent>
          <mc:Choice Requires="wps">
            <w:drawing>
              <wp:anchor distT="0" distB="0" distL="114300" distR="114300" simplePos="0" relativeHeight="251665408" behindDoc="0" locked="0" layoutInCell="1" allowOverlap="1">
                <wp:simplePos x="0" y="0"/>
                <wp:positionH relativeFrom="column">
                  <wp:posOffset>4495800</wp:posOffset>
                </wp:positionH>
                <wp:positionV relativeFrom="paragraph">
                  <wp:posOffset>336550</wp:posOffset>
                </wp:positionV>
                <wp:extent cx="0" cy="222250"/>
                <wp:effectExtent l="38100" t="0" r="38100" b="6350"/>
                <wp:wrapNone/>
                <wp:docPr id="4" name="直接箭头连接符 4"/>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4pt;margin-top:26.5pt;height:17.5pt;width:0pt;z-index:251665408;mso-width-relative:page;mso-height-relative:page;" filled="f" stroked="t" coordsize="21600,21600" o:gfxdata="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uEwqvYAAAACQEAAA8AAAAAAAAAAQAgAAAAIgAAAGRycy9k&#10;b3ducmV2LnhtbFBLAQIUABQAAAAIAIdO4kB2kPdXAgIAAO8DAAAOAAAAAAAAAAEAIAAAACcBAABk&#10;cnMvZTJvRG9jLnhtbFBLBQYAAAAABgAGAFkBAACbBQAAAAA=&#10;">
                <v:fill on="f" focussize="0,0"/>
                <v:stroke color="#000000" joinstyle="round" endarrow="block"/>
                <v:imagedata o:title=""/>
                <o:lock v:ext="edit" aspectratio="f"/>
              </v:shape>
            </w:pict>
          </mc:Fallback>
        </mc:AlternateContent>
      </w:r>
      <w:r>
        <w:rPr>
          <w:color w:val="000000"/>
        </w:rPr>
        <mc:AlternateContent>
          <mc:Choice Requires="wps">
            <w:drawing>
              <wp:anchor distT="0" distB="0" distL="114300" distR="114300" simplePos="0" relativeHeight="251661312" behindDoc="0" locked="0" layoutInCell="1" allowOverlap="1">
                <wp:simplePos x="0" y="0"/>
                <wp:positionH relativeFrom="column">
                  <wp:posOffset>1149350</wp:posOffset>
                </wp:positionH>
                <wp:positionV relativeFrom="paragraph">
                  <wp:posOffset>336550</wp:posOffset>
                </wp:positionV>
                <wp:extent cx="0" cy="222250"/>
                <wp:effectExtent l="38100" t="0" r="38100" b="6350"/>
                <wp:wrapNone/>
                <wp:docPr id="5" name="直接箭头连接符 5"/>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0.5pt;margin-top:26.5pt;height:17.5pt;width:0pt;z-index:251661312;mso-width-relative:page;mso-height-relative:page;" filled="f" stroked="t" coordsize="21600,21600" o:gfxdata="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K/9vXAAAACQEAAA8AAAAAAAAAAQAgAAAAIgAAAGRycy9kb3du&#10;cmV2LnhtbFBLAQIUABQAAAAIAIdO4kDVhXVSAAIAAO8DAAAOAAAAAAAAAAEAIAAAACYBAABkcnMv&#10;ZTJvRG9jLnhtbFBLBQYAAAAABgAGAFkBAACYBQAAAAA=&#10;">
                <v:fill on="f" focussize="0,0"/>
                <v:stroke color="#000000" joinstyle="round" endarrow="block"/>
                <v:imagedata o:title=""/>
                <o:lock v:ext="edit" aspectratio="f"/>
              </v:shape>
            </w:pict>
          </mc:Fallback>
        </mc:AlternateContent>
      </w:r>
    </w:p>
    <w:p>
      <w:pPr>
        <w:widowControl/>
        <w:spacing w:line="240" w:lineRule="auto"/>
        <w:ind w:firstLine="0" w:firstLineChars="0"/>
        <w:jc w:val="center"/>
        <w:rPr>
          <w:color w:val="000000"/>
          <w:kern w:val="0"/>
          <w:lang w:bidi="ar"/>
        </w:rPr>
      </w:pPr>
      <w:r>
        <w:rPr>
          <w:color w:val="000000"/>
          <w:szCs w:val="24"/>
        </w:rPr>
        <mc:AlternateContent>
          <mc:Choice Requires="wps">
            <w:drawing>
              <wp:anchor distT="0" distB="0" distL="114300" distR="114300" simplePos="0" relativeHeight="251669504" behindDoc="0" locked="0" layoutInCell="1" allowOverlap="1">
                <wp:simplePos x="0" y="0"/>
                <wp:positionH relativeFrom="column">
                  <wp:posOffset>3444240</wp:posOffset>
                </wp:positionH>
                <wp:positionV relativeFrom="paragraph">
                  <wp:posOffset>162560</wp:posOffset>
                </wp:positionV>
                <wp:extent cx="298450" cy="1092200"/>
                <wp:effectExtent l="4445" t="4445" r="17145" b="15875"/>
                <wp:wrapNone/>
                <wp:docPr id="14" name="矩形 14"/>
                <wp:cNvGraphicFramePr/>
                <a:graphic xmlns:a="http://schemas.openxmlformats.org/drawingml/2006/main">
                  <a:graphicData uri="http://schemas.microsoft.com/office/word/2010/wordprocessingShape">
                    <wps:wsp>
                      <wps:cNvSpPr/>
                      <wps:spPr>
                        <a:xfrm>
                          <a:off x="0" y="0"/>
                          <a:ext cx="298450" cy="1092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sz w:val="24"/>
                                <w:szCs w:val="24"/>
                              </w:rPr>
                            </w:pPr>
                            <w:r>
                              <w:rPr>
                                <w:rFonts w:hint="eastAsia"/>
                                <w:sz w:val="24"/>
                                <w:szCs w:val="24"/>
                              </w:rPr>
                              <w:t>后勤保障</w:t>
                            </w:r>
                            <w:r>
                              <w:rPr>
                                <w:sz w:val="24"/>
                                <w:szCs w:val="24"/>
                              </w:rPr>
                              <w:t>组</w:t>
                            </w:r>
                          </w:p>
                        </w:txbxContent>
                      </wps:txbx>
                      <wps:bodyPr upright="1"/>
                    </wps:wsp>
                  </a:graphicData>
                </a:graphic>
              </wp:anchor>
            </w:drawing>
          </mc:Choice>
          <mc:Fallback>
            <w:pict>
              <v:rect id="_x0000_s1026" o:spid="_x0000_s1026" o:spt="1" style="position:absolute;left:0pt;margin-left:271.2pt;margin-top:12.8pt;height:86pt;width:23.5pt;z-index:251669504;mso-width-relative:page;mso-height-relative:page;" fillcolor="#FFFFFF" filled="t" stroked="t" coordsize="21600,21600" o:gfxdata="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ok6wdgAAAAKAQAADwAAAAAAAAABACAAAAAiAAAAZHJzL2Rv&#10;d25yZXYueG1sUEsBAhQAFAAAAAgAh07iQCO1VBoBAgAAKwQAAA4AAAAAAAAAAQAgAAAAJwEAAGRy&#10;cy9lMm9Eb2MueG1sUEsFBgAAAAAGAAYAWQEAAJoFAAAAAA==&#10;">
                <v:fill on="t" focussize="0,0"/>
                <v:stroke color="#000000" joinstyle="miter"/>
                <v:imagedata o:title=""/>
                <o:lock v:ext="edit" aspectratio="f"/>
                <v:textbox>
                  <w:txbxContent>
                    <w:p>
                      <w:pPr>
                        <w:spacing w:line="240" w:lineRule="auto"/>
                        <w:ind w:firstLine="0" w:firstLineChars="0"/>
                        <w:rPr>
                          <w:sz w:val="24"/>
                          <w:szCs w:val="24"/>
                        </w:rPr>
                      </w:pPr>
                      <w:r>
                        <w:rPr>
                          <w:rFonts w:hint="eastAsia"/>
                          <w:sz w:val="24"/>
                          <w:szCs w:val="24"/>
                        </w:rPr>
                        <w:t>后勤保障</w:t>
                      </w:r>
                      <w:r>
                        <w:rPr>
                          <w:sz w:val="24"/>
                          <w:szCs w:val="24"/>
                        </w:rPr>
                        <w:t>组</w:t>
                      </w:r>
                    </w:p>
                  </w:txbxContent>
                </v:textbox>
              </v:rect>
            </w:pict>
          </mc:Fallback>
        </mc:AlternateContent>
      </w:r>
      <w:r>
        <w:rPr>
          <w:color w:val="000000"/>
          <w:szCs w:val="24"/>
        </w:rPr>
        <mc:AlternateContent>
          <mc:Choice Requires="wps">
            <w:drawing>
              <wp:anchor distT="0" distB="0" distL="114300" distR="114300" simplePos="0" relativeHeight="251668480" behindDoc="0" locked="0" layoutInCell="1" allowOverlap="1">
                <wp:simplePos x="0" y="0"/>
                <wp:positionH relativeFrom="column">
                  <wp:posOffset>2620010</wp:posOffset>
                </wp:positionH>
                <wp:positionV relativeFrom="paragraph">
                  <wp:posOffset>162560</wp:posOffset>
                </wp:positionV>
                <wp:extent cx="298450" cy="1092200"/>
                <wp:effectExtent l="4445" t="4445" r="17145" b="15875"/>
                <wp:wrapNone/>
                <wp:docPr id="26" name="矩形 26"/>
                <wp:cNvGraphicFramePr/>
                <a:graphic xmlns:a="http://schemas.openxmlformats.org/drawingml/2006/main">
                  <a:graphicData uri="http://schemas.microsoft.com/office/word/2010/wordprocessingShape">
                    <wps:wsp>
                      <wps:cNvSpPr/>
                      <wps:spPr>
                        <a:xfrm>
                          <a:off x="0" y="0"/>
                          <a:ext cx="298450" cy="1092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sz w:val="24"/>
                                <w:szCs w:val="24"/>
                              </w:rPr>
                            </w:pPr>
                            <w:r>
                              <w:rPr>
                                <w:rFonts w:hint="eastAsia"/>
                                <w:sz w:val="24"/>
                                <w:szCs w:val="24"/>
                              </w:rPr>
                              <w:t>环境应急</w:t>
                            </w:r>
                            <w:r>
                              <w:rPr>
                                <w:sz w:val="24"/>
                                <w:szCs w:val="24"/>
                              </w:rPr>
                              <w:t>组</w:t>
                            </w:r>
                          </w:p>
                        </w:txbxContent>
                      </wps:txbx>
                      <wps:bodyPr upright="1"/>
                    </wps:wsp>
                  </a:graphicData>
                </a:graphic>
              </wp:anchor>
            </w:drawing>
          </mc:Choice>
          <mc:Fallback>
            <w:pict>
              <v:rect id="_x0000_s1026" o:spid="_x0000_s1026" o:spt="1" style="position:absolute;left:0pt;margin-left:206.3pt;margin-top:12.8pt;height:86pt;width:23.5pt;z-index:251668480;mso-width-relative:page;mso-height-relative:page;" fillcolor="#FFFFFF" filled="t" stroked="t" coordsize="21600,21600" o:gfxdata="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XAjj9gAAAAKAQAADwAAAAAAAAABACAAAAAiAAAAZHJzL2Rv&#10;d25yZXYueG1sUEsBAhQAFAAAAAgAh07iQPdngBYBAgAAKwQAAA4AAAAAAAAAAQAgAAAAJwEAAGRy&#10;cy9lMm9Eb2MueG1sUEsFBgAAAAAGAAYAWQEAAJoFAAAAAA==&#10;">
                <v:fill on="t" focussize="0,0"/>
                <v:stroke color="#000000" joinstyle="miter"/>
                <v:imagedata o:title=""/>
                <o:lock v:ext="edit" aspectratio="f"/>
                <v:textbox>
                  <w:txbxContent>
                    <w:p>
                      <w:pPr>
                        <w:spacing w:line="240" w:lineRule="auto"/>
                        <w:ind w:firstLine="0" w:firstLineChars="0"/>
                        <w:rPr>
                          <w:sz w:val="24"/>
                          <w:szCs w:val="24"/>
                        </w:rPr>
                      </w:pPr>
                      <w:r>
                        <w:rPr>
                          <w:rFonts w:hint="eastAsia"/>
                          <w:sz w:val="24"/>
                          <w:szCs w:val="24"/>
                        </w:rPr>
                        <w:t>环境应急</w:t>
                      </w:r>
                      <w:r>
                        <w:rPr>
                          <w:sz w:val="24"/>
                          <w:szCs w:val="24"/>
                        </w:rPr>
                        <w:t>组</w:t>
                      </w:r>
                    </w:p>
                  </w:txbxContent>
                </v:textbox>
              </v:rect>
            </w:pict>
          </mc:Fallback>
        </mc:AlternateContent>
      </w:r>
      <w:r>
        <w:rPr>
          <w:color w:val="000000"/>
          <w:szCs w:val="24"/>
        </w:rPr>
        <mc:AlternateContent>
          <mc:Choice Requires="wps">
            <w:drawing>
              <wp:anchor distT="0" distB="0" distL="114300" distR="114300" simplePos="0" relativeHeight="251667456" behindDoc="0" locked="0" layoutInCell="1" allowOverlap="1">
                <wp:simplePos x="0" y="0"/>
                <wp:positionH relativeFrom="column">
                  <wp:posOffset>1884680</wp:posOffset>
                </wp:positionH>
                <wp:positionV relativeFrom="paragraph">
                  <wp:posOffset>162560</wp:posOffset>
                </wp:positionV>
                <wp:extent cx="298450" cy="1092200"/>
                <wp:effectExtent l="4445" t="4445" r="17145" b="15875"/>
                <wp:wrapNone/>
                <wp:docPr id="20" name="矩形 20"/>
                <wp:cNvGraphicFramePr/>
                <a:graphic xmlns:a="http://schemas.openxmlformats.org/drawingml/2006/main">
                  <a:graphicData uri="http://schemas.microsoft.com/office/word/2010/wordprocessingShape">
                    <wps:wsp>
                      <wps:cNvSpPr/>
                      <wps:spPr>
                        <a:xfrm>
                          <a:off x="0" y="0"/>
                          <a:ext cx="298450" cy="1092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sz w:val="24"/>
                                <w:szCs w:val="24"/>
                              </w:rPr>
                            </w:pPr>
                            <w:r>
                              <w:rPr>
                                <w:rFonts w:hint="eastAsia"/>
                                <w:sz w:val="24"/>
                                <w:szCs w:val="24"/>
                              </w:rPr>
                              <w:t>现场抢险</w:t>
                            </w:r>
                            <w:r>
                              <w:rPr>
                                <w:sz w:val="24"/>
                                <w:szCs w:val="24"/>
                              </w:rPr>
                              <w:t>组</w:t>
                            </w:r>
                          </w:p>
                        </w:txbxContent>
                      </wps:txbx>
                      <wps:bodyPr upright="1"/>
                    </wps:wsp>
                  </a:graphicData>
                </a:graphic>
              </wp:anchor>
            </w:drawing>
          </mc:Choice>
          <mc:Fallback>
            <w:pict>
              <v:rect id="_x0000_s1026" o:spid="_x0000_s1026" o:spt="1" style="position:absolute;left:0pt;margin-left:148.4pt;margin-top:12.8pt;height:86pt;width:23.5pt;z-index:251667456;mso-width-relative:page;mso-height-relative:page;" fillcolor="#FFFFFF" filled="t" stroked="t" coordsize="21600,21600" o:gfxdata="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GdzNcAAAAKAQAADwAAAAAAAAABACAAAAAiAAAAZHJzL2Rvd25y&#10;ZXYueG1sUEsBAhQAFAAAAAgAh07iQJRv5b3/AQAAKwQAAA4AAAAAAAAAAQAgAAAAJgEAAGRycy9l&#10;Mm9Eb2MueG1sUEsFBgAAAAAGAAYAWQEAAJcFAAAAAA==&#10;">
                <v:fill on="t" focussize="0,0"/>
                <v:stroke color="#000000" joinstyle="miter"/>
                <v:imagedata o:title=""/>
                <o:lock v:ext="edit" aspectratio="f"/>
                <v:textbox>
                  <w:txbxContent>
                    <w:p>
                      <w:pPr>
                        <w:spacing w:line="240" w:lineRule="auto"/>
                        <w:ind w:firstLine="0" w:firstLineChars="0"/>
                        <w:rPr>
                          <w:sz w:val="24"/>
                          <w:szCs w:val="24"/>
                        </w:rPr>
                      </w:pPr>
                      <w:r>
                        <w:rPr>
                          <w:rFonts w:hint="eastAsia"/>
                          <w:sz w:val="24"/>
                          <w:szCs w:val="24"/>
                        </w:rPr>
                        <w:t>现场抢险</w:t>
                      </w:r>
                      <w:r>
                        <w:rPr>
                          <w:sz w:val="24"/>
                          <w:szCs w:val="24"/>
                        </w:rPr>
                        <w:t>组</w:t>
                      </w:r>
                    </w:p>
                  </w:txbxContent>
                </v:textbox>
              </v:rect>
            </w:pict>
          </mc:Fallback>
        </mc:AlternateContent>
      </w:r>
      <w:r>
        <w:rPr>
          <w:color w:val="000000"/>
          <w:szCs w:val="24"/>
        </w:rPr>
        <mc:AlternateContent>
          <mc:Choice Requires="wps">
            <w:drawing>
              <wp:anchor distT="0" distB="0" distL="114300" distR="114300" simplePos="0" relativeHeight="251670528" behindDoc="0" locked="0" layoutInCell="1" allowOverlap="1">
                <wp:simplePos x="0" y="0"/>
                <wp:positionH relativeFrom="column">
                  <wp:posOffset>4343400</wp:posOffset>
                </wp:positionH>
                <wp:positionV relativeFrom="paragraph">
                  <wp:posOffset>162560</wp:posOffset>
                </wp:positionV>
                <wp:extent cx="298450" cy="1092200"/>
                <wp:effectExtent l="4445" t="4445" r="17145" b="15875"/>
                <wp:wrapNone/>
                <wp:docPr id="18" name="矩形 18"/>
                <wp:cNvGraphicFramePr/>
                <a:graphic xmlns:a="http://schemas.openxmlformats.org/drawingml/2006/main">
                  <a:graphicData uri="http://schemas.microsoft.com/office/word/2010/wordprocessingShape">
                    <wps:wsp>
                      <wps:cNvSpPr/>
                      <wps:spPr>
                        <a:xfrm>
                          <a:off x="0" y="0"/>
                          <a:ext cx="298450" cy="1092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sz w:val="24"/>
                                <w:szCs w:val="24"/>
                              </w:rPr>
                            </w:pPr>
                            <w:r>
                              <w:rPr>
                                <w:rFonts w:hint="eastAsia"/>
                                <w:sz w:val="24"/>
                                <w:szCs w:val="24"/>
                              </w:rPr>
                              <w:t>疏散引导</w:t>
                            </w:r>
                            <w:r>
                              <w:rPr>
                                <w:sz w:val="24"/>
                                <w:szCs w:val="24"/>
                              </w:rPr>
                              <w:t>组</w:t>
                            </w:r>
                          </w:p>
                        </w:txbxContent>
                      </wps:txbx>
                      <wps:bodyPr upright="1"/>
                    </wps:wsp>
                  </a:graphicData>
                </a:graphic>
              </wp:anchor>
            </w:drawing>
          </mc:Choice>
          <mc:Fallback>
            <w:pict>
              <v:rect id="_x0000_s1026" o:spid="_x0000_s1026" o:spt="1" style="position:absolute;left:0pt;margin-left:342pt;margin-top:12.8pt;height:86pt;width:23.5pt;z-index:251670528;mso-width-relative:page;mso-height-relative:page;" fillcolor="#FFFFFF" filled="t" stroked="t" coordsize="21600,21600" o:gfxdata="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O9L9dkAAAAKAQAADwAAAAAAAAABACAAAAAiAAAAZHJzL2Rv&#10;d25yZXYueG1sUEsBAhQAFAAAAAgAh07iQKSj75cAAgAAKwQAAA4AAAAAAAAAAQAgAAAAKAEAAGRy&#10;cy9lMm9Eb2MueG1sUEsFBgAAAAAGAAYAWQEAAJoFAAAAAA==&#10;">
                <v:fill on="t" focussize="0,0"/>
                <v:stroke color="#000000" joinstyle="miter"/>
                <v:imagedata o:title=""/>
                <o:lock v:ext="edit" aspectratio="f"/>
                <v:textbox>
                  <w:txbxContent>
                    <w:p>
                      <w:pPr>
                        <w:spacing w:line="240" w:lineRule="auto"/>
                        <w:ind w:firstLine="0" w:firstLineChars="0"/>
                        <w:rPr>
                          <w:sz w:val="24"/>
                          <w:szCs w:val="24"/>
                        </w:rPr>
                      </w:pPr>
                      <w:r>
                        <w:rPr>
                          <w:rFonts w:hint="eastAsia"/>
                          <w:sz w:val="24"/>
                          <w:szCs w:val="24"/>
                        </w:rPr>
                        <w:t>疏散引导</w:t>
                      </w:r>
                      <w:r>
                        <w:rPr>
                          <w:sz w:val="24"/>
                          <w:szCs w:val="24"/>
                        </w:rPr>
                        <w:t>组</w:t>
                      </w:r>
                    </w:p>
                  </w:txbxContent>
                </v:textbox>
              </v:rect>
            </w:pict>
          </mc:Fallback>
        </mc:AlternateContent>
      </w:r>
      <w:r>
        <w:rPr>
          <w:color w:val="000000"/>
          <w:szCs w:val="24"/>
        </w:rPr>
        <mc:AlternateContent>
          <mc:Choice Requires="wps">
            <w:drawing>
              <wp:anchor distT="0" distB="0" distL="114300" distR="114300" simplePos="0" relativeHeight="251666432" behindDoc="0" locked="0" layoutInCell="1" allowOverlap="1">
                <wp:simplePos x="0" y="0"/>
                <wp:positionH relativeFrom="column">
                  <wp:posOffset>984250</wp:posOffset>
                </wp:positionH>
                <wp:positionV relativeFrom="paragraph">
                  <wp:posOffset>162560</wp:posOffset>
                </wp:positionV>
                <wp:extent cx="298450" cy="1092200"/>
                <wp:effectExtent l="4445" t="4445" r="17145" b="15875"/>
                <wp:wrapNone/>
                <wp:docPr id="15" name="矩形 15"/>
                <wp:cNvGraphicFramePr/>
                <a:graphic xmlns:a="http://schemas.openxmlformats.org/drawingml/2006/main">
                  <a:graphicData uri="http://schemas.microsoft.com/office/word/2010/wordprocessingShape">
                    <wps:wsp>
                      <wps:cNvSpPr/>
                      <wps:spPr>
                        <a:xfrm>
                          <a:off x="0" y="0"/>
                          <a:ext cx="298450" cy="1092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rPr>
                                <w:sz w:val="24"/>
                                <w:szCs w:val="24"/>
                              </w:rPr>
                            </w:pPr>
                            <w:r>
                              <w:rPr>
                                <w:rFonts w:hint="eastAsia"/>
                                <w:sz w:val="24"/>
                                <w:szCs w:val="24"/>
                              </w:rPr>
                              <w:t>通讯</w:t>
                            </w:r>
                            <w:r>
                              <w:rPr>
                                <w:sz w:val="24"/>
                                <w:szCs w:val="24"/>
                              </w:rPr>
                              <w:t>联络组</w:t>
                            </w:r>
                          </w:p>
                        </w:txbxContent>
                      </wps:txbx>
                      <wps:bodyPr upright="1"/>
                    </wps:wsp>
                  </a:graphicData>
                </a:graphic>
              </wp:anchor>
            </w:drawing>
          </mc:Choice>
          <mc:Fallback>
            <w:pict>
              <v:rect id="_x0000_s1026" o:spid="_x0000_s1026" o:spt="1" style="position:absolute;left:0pt;margin-left:77.5pt;margin-top:12.8pt;height:86pt;width:23.5pt;z-index:251666432;mso-width-relative:page;mso-height-relative:page;" fillcolor="#FFFFFF" filled="t" stroked="t" coordsize="21600,21600" o:gfxdata="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ICABNcAAAAKAQAADwAAAAAAAAABACAAAAAiAAAAZHJzL2Rvd25y&#10;ZXYueG1sUEsBAhQAFAAAAAgAh07iQBNKgsT/AQAAKwQAAA4AAAAAAAAAAQAgAAAAJgEAAGRycy9l&#10;Mm9Eb2MueG1sUEsFBgAAAAAGAAYAWQEAAJcFAAAAAA==&#10;">
                <v:fill on="t" focussize="0,0"/>
                <v:stroke color="#000000" joinstyle="miter"/>
                <v:imagedata o:title=""/>
                <o:lock v:ext="edit" aspectratio="f"/>
                <v:textbox>
                  <w:txbxContent>
                    <w:p>
                      <w:pPr>
                        <w:spacing w:line="240" w:lineRule="auto"/>
                        <w:ind w:firstLine="0" w:firstLineChars="0"/>
                        <w:rPr>
                          <w:sz w:val="24"/>
                          <w:szCs w:val="24"/>
                        </w:rPr>
                      </w:pPr>
                      <w:r>
                        <w:rPr>
                          <w:rFonts w:hint="eastAsia"/>
                          <w:sz w:val="24"/>
                          <w:szCs w:val="24"/>
                        </w:rPr>
                        <w:t>通讯</w:t>
                      </w:r>
                      <w:r>
                        <w:rPr>
                          <w:sz w:val="24"/>
                          <w:szCs w:val="24"/>
                        </w:rPr>
                        <w:t>联络组</w:t>
                      </w:r>
                    </w:p>
                  </w:txbxContent>
                </v:textbox>
              </v:rect>
            </w:pict>
          </mc:Fallback>
        </mc:AlternateContent>
      </w:r>
    </w:p>
    <w:p>
      <w:pPr>
        <w:widowControl/>
        <w:spacing w:line="240" w:lineRule="auto"/>
        <w:ind w:firstLine="0" w:firstLineChars="0"/>
        <w:jc w:val="center"/>
        <w:rPr>
          <w:color w:val="000000"/>
          <w:kern w:val="0"/>
          <w:lang w:bidi="ar"/>
        </w:rPr>
      </w:pPr>
    </w:p>
    <w:p>
      <w:pPr>
        <w:widowControl/>
        <w:spacing w:line="240" w:lineRule="auto"/>
        <w:ind w:firstLine="0" w:firstLineChars="0"/>
        <w:jc w:val="center"/>
        <w:rPr>
          <w:color w:val="000000"/>
          <w:kern w:val="0"/>
          <w:lang w:bidi="ar"/>
        </w:rPr>
      </w:pPr>
    </w:p>
    <w:p>
      <w:pPr>
        <w:widowControl/>
        <w:spacing w:line="240" w:lineRule="auto"/>
        <w:ind w:firstLine="0" w:firstLineChars="0"/>
        <w:jc w:val="center"/>
        <w:rPr>
          <w:color w:val="000000"/>
          <w:kern w:val="0"/>
          <w:lang w:bidi="ar"/>
        </w:rPr>
      </w:pPr>
    </w:p>
    <w:p>
      <w:pPr>
        <w:widowControl/>
        <w:spacing w:line="240" w:lineRule="auto"/>
        <w:ind w:firstLine="0" w:firstLineChars="0"/>
        <w:jc w:val="center"/>
        <w:rPr>
          <w:color w:val="000000"/>
          <w:kern w:val="0"/>
          <w:lang w:bidi="ar"/>
        </w:rPr>
      </w:pPr>
      <w:r>
        <w:rPr>
          <w:color w:val="000000"/>
          <w:kern w:val="0"/>
          <w:lang w:bidi="ar"/>
        </w:rPr>
        <w:t>图4.1-1 公司应急组织体系结构图</w:t>
      </w:r>
    </w:p>
    <w:p>
      <w:pPr>
        <w:ind w:firstLine="0" w:firstLineChars="0"/>
        <w:jc w:val="left"/>
        <w:rPr>
          <w:color w:val="000000"/>
          <w:szCs w:val="24"/>
        </w:rPr>
      </w:pPr>
    </w:p>
    <w:p>
      <w:pPr>
        <w:ind w:firstLine="560"/>
        <w:rPr>
          <w:color w:val="000000"/>
        </w:rPr>
      </w:pPr>
      <w:r>
        <w:rPr>
          <w:color w:val="000000"/>
        </w:rPr>
        <w:t>总指挥：总经理</w:t>
      </w:r>
    </w:p>
    <w:p>
      <w:pPr>
        <w:ind w:firstLine="560"/>
        <w:rPr>
          <w:color w:val="000000"/>
        </w:rPr>
      </w:pPr>
      <w:r>
        <w:rPr>
          <w:color w:val="000000"/>
        </w:rPr>
        <w:t>副总指挥：副总经理、安全总监</w:t>
      </w:r>
    </w:p>
    <w:p>
      <w:pPr>
        <w:ind w:firstLine="560"/>
        <w:rPr>
          <w:color w:val="000000"/>
        </w:rPr>
      </w:pPr>
      <w:r>
        <w:rPr>
          <w:color w:val="000000"/>
        </w:rPr>
        <w:t>应急救援办公室：由各应急小组组长组成，24小时联系电话：25290061。</w:t>
      </w:r>
    </w:p>
    <w:p>
      <w:pPr>
        <w:pStyle w:val="4"/>
        <w:rPr>
          <w:color w:val="000000"/>
        </w:rPr>
      </w:pPr>
      <w:bookmarkStart w:id="16" w:name="_Toc120195378"/>
      <w:r>
        <w:rPr>
          <w:color w:val="000000"/>
        </w:rPr>
        <w:t>4.2突发环境事件应急指挥部的主要职责</w:t>
      </w:r>
      <w:bookmarkEnd w:id="16"/>
    </w:p>
    <w:p>
      <w:pPr>
        <w:ind w:firstLine="560"/>
        <w:rPr>
          <w:color w:val="000000"/>
        </w:rPr>
      </w:pPr>
      <w:r>
        <w:rPr>
          <w:color w:val="000000"/>
        </w:rPr>
        <w:t>应急指挥部的主要职责如下：</w:t>
      </w:r>
    </w:p>
    <w:p>
      <w:pPr>
        <w:ind w:firstLine="560"/>
        <w:rPr>
          <w:color w:val="000000"/>
        </w:rPr>
      </w:pPr>
      <w:r>
        <w:rPr>
          <w:color w:val="000000"/>
        </w:rPr>
        <w:t>（1）贯彻执行国家、天津市和上级主管部门关于突发环境事件 应急处置的方针、政策及有关规定；</w:t>
      </w:r>
    </w:p>
    <w:p>
      <w:pPr>
        <w:ind w:firstLine="560"/>
        <w:rPr>
          <w:color w:val="000000"/>
        </w:rPr>
      </w:pPr>
      <w:r>
        <w:rPr>
          <w:color w:val="000000"/>
        </w:rPr>
        <w:t>（2）组织制定突发环境事件应急预案并交由天津经济技术开发 区生态环境局备案；</w:t>
      </w:r>
    </w:p>
    <w:p>
      <w:pPr>
        <w:ind w:firstLine="560"/>
        <w:rPr>
          <w:color w:val="000000"/>
        </w:rPr>
      </w:pPr>
      <w:r>
        <w:rPr>
          <w:color w:val="000000"/>
        </w:rPr>
        <w:t>（3）组建公司突发环境事件应急处置队伍；</w:t>
      </w:r>
    </w:p>
    <w:p>
      <w:pPr>
        <w:ind w:firstLine="560"/>
        <w:rPr>
          <w:color w:val="000000"/>
        </w:rPr>
      </w:pPr>
      <w:r>
        <w:rPr>
          <w:color w:val="000000"/>
        </w:rPr>
        <w:t>（4）负责应急防范设施（备）以及应急处置物资的配备，特别 是处理泄漏物料、消解和吸收污染物的物资储备；</w:t>
      </w:r>
    </w:p>
    <w:p>
      <w:pPr>
        <w:ind w:firstLine="560"/>
        <w:rPr>
          <w:color w:val="000000"/>
        </w:rPr>
      </w:pPr>
      <w:r>
        <w:rPr>
          <w:color w:val="000000"/>
        </w:rPr>
        <w:t>（5）检查、督促做好突发环境事件的预防措施和应急处置的各 项准备工作，督促、协助内部各个相关部门及时消除有毒有害物质的跑、冒、滴、漏；</w:t>
      </w:r>
    </w:p>
    <w:p>
      <w:pPr>
        <w:ind w:firstLine="560"/>
        <w:rPr>
          <w:color w:val="000000"/>
        </w:rPr>
      </w:pPr>
      <w:r>
        <w:rPr>
          <w:color w:val="000000"/>
        </w:rPr>
        <w:t>（6）负责组织应急预案的更新和修订；</w:t>
      </w:r>
    </w:p>
    <w:p>
      <w:pPr>
        <w:ind w:firstLine="560"/>
        <w:rPr>
          <w:color w:val="000000"/>
        </w:rPr>
      </w:pPr>
      <w:r>
        <w:rPr>
          <w:color w:val="000000"/>
        </w:rPr>
        <w:t>（7）批准本预案的启动和终止；</w:t>
      </w:r>
    </w:p>
    <w:p>
      <w:pPr>
        <w:ind w:firstLine="560"/>
        <w:rPr>
          <w:color w:val="000000"/>
        </w:rPr>
      </w:pPr>
      <w:r>
        <w:rPr>
          <w:color w:val="000000"/>
        </w:rPr>
        <w:t>（8）确定现场指挥人员；</w:t>
      </w:r>
    </w:p>
    <w:p>
      <w:pPr>
        <w:ind w:firstLine="560"/>
        <w:rPr>
          <w:color w:val="000000"/>
        </w:rPr>
      </w:pPr>
      <w:r>
        <w:rPr>
          <w:color w:val="000000"/>
        </w:rPr>
        <w:t>（9）协调事件现场有关工作；</w:t>
      </w:r>
    </w:p>
    <w:p>
      <w:pPr>
        <w:ind w:firstLine="560"/>
        <w:rPr>
          <w:color w:val="000000"/>
        </w:rPr>
      </w:pPr>
      <w:r>
        <w:rPr>
          <w:color w:val="000000"/>
        </w:rPr>
        <w:t>（10）负责人员、资源配置和应急队伍的调动；</w:t>
      </w:r>
    </w:p>
    <w:p>
      <w:pPr>
        <w:ind w:firstLine="560"/>
        <w:rPr>
          <w:color w:val="000000"/>
        </w:rPr>
      </w:pPr>
      <w:r>
        <w:rPr>
          <w:color w:val="000000"/>
        </w:rPr>
        <w:t>（11）及时向天津经济技术开发区生态环境局报告突发环境事件的具体情况，必要时向有关单位发出增援请求，并向周边单位通报相 关情况；</w:t>
      </w:r>
    </w:p>
    <w:p>
      <w:pPr>
        <w:ind w:firstLine="560"/>
        <w:rPr>
          <w:color w:val="000000"/>
        </w:rPr>
      </w:pPr>
      <w:r>
        <w:rPr>
          <w:color w:val="000000"/>
        </w:rPr>
        <w:t>（12）接受天津经济技术开发区的指令和调动，协助事件处理。 配合政府部门对环境进行恢复、事件调查、经验教训总结；</w:t>
      </w:r>
    </w:p>
    <w:p>
      <w:pPr>
        <w:ind w:firstLine="560"/>
        <w:rPr>
          <w:color w:val="000000"/>
        </w:rPr>
      </w:pPr>
      <w:r>
        <w:rPr>
          <w:color w:val="000000"/>
        </w:rPr>
        <w:t>（13）有计划地组织实施突发环境事件应急处置的培训和应急预案的演习，负责对员工进行应急知识和基本防护方法的培训。</w:t>
      </w:r>
    </w:p>
    <w:p>
      <w:pPr>
        <w:ind w:firstLine="560"/>
        <w:rPr>
          <w:color w:val="000000"/>
        </w:rPr>
      </w:pPr>
      <w:r>
        <w:rPr>
          <w:color w:val="000000"/>
        </w:rPr>
        <w:t>指挥机构中各成员的职责如下：</w:t>
      </w:r>
    </w:p>
    <w:p>
      <w:pPr>
        <w:ind w:firstLine="560"/>
        <w:rPr>
          <w:color w:val="000000"/>
        </w:rPr>
      </w:pPr>
      <w:r>
        <w:rPr>
          <w:color w:val="000000"/>
        </w:rPr>
        <w:t>（1）应急总指挥</w:t>
      </w:r>
    </w:p>
    <w:p>
      <w:pPr>
        <w:ind w:firstLine="560"/>
        <w:rPr>
          <w:color w:val="000000"/>
        </w:rPr>
      </w:pPr>
      <w:r>
        <w:rPr>
          <w:color w:val="000000"/>
        </w:rPr>
        <w:t>全面指挥事故现场的应急救援工作。分析紧急状态和警告级别，批准启动和终止紧急反应预案，指挥厂区紧急反应行动，监督现场指挥和协调后勤支援，对外信息发布。</w:t>
      </w:r>
    </w:p>
    <w:p>
      <w:pPr>
        <w:ind w:firstLine="560"/>
        <w:rPr>
          <w:color w:val="000000"/>
        </w:rPr>
      </w:pPr>
      <w:r>
        <w:rPr>
          <w:color w:val="000000"/>
        </w:rPr>
        <w:t>（2）应急副总指挥</w:t>
      </w:r>
    </w:p>
    <w:p>
      <w:pPr>
        <w:ind w:firstLine="560"/>
        <w:rPr>
          <w:color w:val="000000"/>
        </w:rPr>
      </w:pPr>
      <w:r>
        <w:rPr>
          <w:color w:val="000000"/>
        </w:rPr>
        <w:t>负责所有事故现场操作的指挥和协调，保证现场反应行动的执行，向企业应急总指挥汇报现场状况，寻求后勤支援。协调总指挥负责具体的指挥工作，当总指挥不在现场时，副总指挥行使总指挥职责。协调事故报警、情况通报等应急救援工作，必要时代表指挥部对外发布有关信息。</w:t>
      </w:r>
    </w:p>
    <w:p>
      <w:pPr>
        <w:ind w:firstLine="560"/>
        <w:rPr>
          <w:color w:val="000000"/>
        </w:rPr>
      </w:pPr>
      <w:r>
        <w:rPr>
          <w:color w:val="000000"/>
        </w:rPr>
        <w:t>（3）应急办公室</w:t>
      </w:r>
    </w:p>
    <w:p>
      <w:pPr>
        <w:ind w:firstLine="560"/>
        <w:rPr>
          <w:color w:val="000000"/>
        </w:rPr>
      </w:pPr>
      <w:r>
        <w:rPr>
          <w:color w:val="000000"/>
        </w:rPr>
        <w:t xml:space="preserve">应急指挥部下设应急办公室，作为常设办事机构。应急办公室设在安环部，应急办公室主要职责如下： </w:t>
      </w:r>
    </w:p>
    <w:p>
      <w:pPr>
        <w:ind w:firstLine="560"/>
        <w:rPr>
          <w:color w:val="000000"/>
        </w:rPr>
      </w:pPr>
      <w:r>
        <w:rPr>
          <w:color w:val="000000"/>
        </w:rPr>
        <w:t xml:space="preserve">1）承办本公司应急管理专题会议和应急指挥部会议，督促落实公司各项应急管理决定和公司领导指示精神。 </w:t>
      </w:r>
    </w:p>
    <w:p>
      <w:pPr>
        <w:ind w:firstLine="560"/>
        <w:rPr>
          <w:color w:val="000000"/>
        </w:rPr>
      </w:pPr>
      <w:r>
        <w:rPr>
          <w:color w:val="000000"/>
        </w:rPr>
        <w:t xml:space="preserve">2）组织编制、修订《突发环境事件应急预案》及相关附件。 </w:t>
      </w:r>
    </w:p>
    <w:p>
      <w:pPr>
        <w:ind w:firstLine="560"/>
        <w:rPr>
          <w:color w:val="000000"/>
        </w:rPr>
      </w:pPr>
      <w:r>
        <w:rPr>
          <w:color w:val="000000"/>
        </w:rPr>
        <w:t xml:space="preserve">3）负责制定公司应急预案全年演练计划并监督计划的实施，负责制定专项应急预案演练计划、方案并组织实施。 </w:t>
      </w:r>
    </w:p>
    <w:p>
      <w:pPr>
        <w:ind w:firstLine="560"/>
        <w:rPr>
          <w:color w:val="000000"/>
        </w:rPr>
      </w:pPr>
      <w:r>
        <w:rPr>
          <w:color w:val="000000"/>
        </w:rPr>
        <w:t xml:space="preserve">4）对突发环境事件报告进行分类、汇总、存档。 </w:t>
      </w:r>
    </w:p>
    <w:p>
      <w:pPr>
        <w:ind w:firstLine="560"/>
        <w:rPr>
          <w:color w:val="000000"/>
        </w:rPr>
      </w:pPr>
      <w:r>
        <w:rPr>
          <w:color w:val="000000"/>
        </w:rPr>
        <w:t xml:space="preserve">5）负责日常应急管理工作，对应急工作的日常费用做出预算。 </w:t>
      </w:r>
    </w:p>
    <w:p>
      <w:pPr>
        <w:ind w:firstLine="560"/>
        <w:rPr>
          <w:color w:val="000000"/>
        </w:rPr>
      </w:pPr>
      <w:r>
        <w:rPr>
          <w:color w:val="000000"/>
        </w:rPr>
        <w:t>6）事故状态下，日常接警</w:t>
      </w:r>
      <w:r>
        <w:rPr>
          <w:rFonts w:hint="eastAsia"/>
          <w:color w:val="000000"/>
        </w:rPr>
        <w:t>、</w:t>
      </w:r>
      <w:r>
        <w:rPr>
          <w:color w:val="000000"/>
        </w:rPr>
        <w:t xml:space="preserve">接受应急报告并进行判断，并通知现场主管领导对事故情况进行核实，跟踪事态发展，及时向应急总指挥汇报、请示并落实指令；协助应急指挥部组织协调应急小组参与应急处置工作。 </w:t>
      </w:r>
    </w:p>
    <w:p>
      <w:pPr>
        <w:ind w:firstLine="560"/>
        <w:rPr>
          <w:color w:val="000000"/>
        </w:rPr>
      </w:pPr>
      <w:r>
        <w:rPr>
          <w:color w:val="000000"/>
        </w:rPr>
        <w:t xml:space="preserve">7）负责事故的调查、评估及救援情况的评估。 </w:t>
      </w:r>
    </w:p>
    <w:p>
      <w:pPr>
        <w:ind w:firstLine="560"/>
        <w:rPr>
          <w:color w:val="000000"/>
        </w:rPr>
      </w:pPr>
      <w:r>
        <w:rPr>
          <w:color w:val="000000"/>
        </w:rPr>
        <w:t xml:space="preserve">8）负责公司应急救援专业队伍的建设。 </w:t>
      </w:r>
    </w:p>
    <w:p>
      <w:pPr>
        <w:ind w:firstLine="560"/>
        <w:rPr>
          <w:color w:val="000000"/>
        </w:rPr>
      </w:pPr>
      <w:r>
        <w:rPr>
          <w:color w:val="000000"/>
        </w:rPr>
        <w:t>9）负责公司应急物资建设及保障。</w:t>
      </w:r>
    </w:p>
    <w:p>
      <w:pPr>
        <w:ind w:firstLine="560"/>
        <w:rPr>
          <w:color w:val="000000"/>
        </w:rPr>
      </w:pPr>
      <w:r>
        <w:rPr>
          <w:color w:val="000000"/>
        </w:rPr>
        <w:t xml:space="preserve">10）负责本单位应急预案的备案工作。 </w:t>
      </w:r>
    </w:p>
    <w:p>
      <w:pPr>
        <w:ind w:firstLine="560"/>
        <w:rPr>
          <w:color w:val="000000"/>
        </w:rPr>
      </w:pPr>
      <w:r>
        <w:rPr>
          <w:color w:val="000000"/>
        </w:rPr>
        <w:t>11）有计划地组织实施突发环境事件应急处置的培训和应急预案的演习，负责对员工进行应急知识和基本防护方法的培训。</w:t>
      </w:r>
    </w:p>
    <w:p>
      <w:pPr>
        <w:pStyle w:val="4"/>
        <w:rPr>
          <w:color w:val="000000"/>
        </w:rPr>
      </w:pPr>
      <w:bookmarkStart w:id="17" w:name="_Toc120195379"/>
      <w:r>
        <w:rPr>
          <w:color w:val="000000"/>
        </w:rPr>
        <w:t>4.3应急处置队伍</w:t>
      </w:r>
      <w:bookmarkEnd w:id="17"/>
    </w:p>
    <w:p>
      <w:pPr>
        <w:ind w:firstLine="560"/>
        <w:rPr>
          <w:color w:val="000000"/>
        </w:rPr>
      </w:pPr>
      <w:r>
        <w:rPr>
          <w:color w:val="000000"/>
        </w:rPr>
        <w:t>公司应急处置队伍包括通讯联络组、现场抢险组、环境应急组、后勤保障组、疏散引导组。明确事件状态下各级人员和专业处置队伍的具体职责和任务，以便在发生突发环境事件时，在统一指挥下，快速、有序、高效地展开应急处置行动，以尽快处理事件，将事件的危害降到最低。</w:t>
      </w:r>
    </w:p>
    <w:p>
      <w:pPr>
        <w:pStyle w:val="5"/>
        <w:rPr>
          <w:color w:val="000000"/>
        </w:rPr>
      </w:pPr>
      <w:r>
        <w:rPr>
          <w:color w:val="000000"/>
        </w:rPr>
        <w:t>4.3.1现场抢险组</w:t>
      </w:r>
    </w:p>
    <w:p>
      <w:pPr>
        <w:ind w:firstLine="560"/>
        <w:rPr>
          <w:color w:val="000000"/>
        </w:rPr>
      </w:pPr>
      <w:r>
        <w:rPr>
          <w:color w:val="000000"/>
        </w:rPr>
        <w:t>组长：廉洪生、耿自伟、刘洋</w:t>
      </w:r>
    </w:p>
    <w:p>
      <w:pPr>
        <w:ind w:firstLine="560"/>
        <w:rPr>
          <w:color w:val="000000"/>
        </w:rPr>
      </w:pPr>
      <w:r>
        <w:rPr>
          <w:color w:val="000000"/>
        </w:rPr>
        <w:t>成员：郑凯中、于洪军、周金亮、马超、赵建才、郭吉青</w:t>
      </w:r>
    </w:p>
    <w:p>
      <w:pPr>
        <w:ind w:firstLine="560"/>
        <w:rPr>
          <w:color w:val="000000"/>
        </w:rPr>
      </w:pPr>
      <w:r>
        <w:rPr>
          <w:color w:val="000000"/>
        </w:rPr>
        <w:t>主要职责：</w:t>
      </w:r>
    </w:p>
    <w:p>
      <w:pPr>
        <w:ind w:firstLine="560"/>
        <w:rPr>
          <w:color w:val="000000"/>
        </w:rPr>
      </w:pPr>
      <w:r>
        <w:rPr>
          <w:color w:val="000000"/>
        </w:rPr>
        <w:t>釆取有效措施，及时清除或控制污染物的泄漏、扩散，控制污染事态恶化；在专家的指导下清理现场遗留的污染物；恢复各种设施至正常使用状态。</w:t>
      </w:r>
    </w:p>
    <w:p>
      <w:pPr>
        <w:ind w:firstLine="560"/>
        <w:rPr>
          <w:color w:val="000000"/>
        </w:rPr>
      </w:pPr>
      <w:r>
        <w:rPr>
          <w:color w:val="000000"/>
        </w:rPr>
        <w:t>具体工作内容：</w:t>
      </w:r>
    </w:p>
    <w:p>
      <w:pPr>
        <w:ind w:firstLine="560"/>
        <w:rPr>
          <w:color w:val="000000"/>
        </w:rPr>
      </w:pPr>
      <w:r>
        <w:rPr>
          <w:color w:val="000000"/>
        </w:rPr>
        <w:t>1）接到通知后，迅速集合队伍奔赴现场，根据事故情形正确佩戴个人防护用具，协助事故发生单位迅速切断事故源和排出现场的易燃易爆物质；</w:t>
      </w:r>
    </w:p>
    <w:p>
      <w:pPr>
        <w:ind w:firstLine="560"/>
        <w:rPr>
          <w:color w:val="000000"/>
        </w:rPr>
      </w:pPr>
      <w:r>
        <w:rPr>
          <w:color w:val="000000"/>
        </w:rPr>
        <w:t>2）迅速了解分析设备设施故障位置及状况，在专业人员指引下进入事故中心点；</w:t>
      </w:r>
    </w:p>
    <w:p>
      <w:pPr>
        <w:ind w:firstLine="560"/>
        <w:rPr>
          <w:color w:val="000000"/>
        </w:rPr>
      </w:pPr>
      <w:r>
        <w:rPr>
          <w:color w:val="000000"/>
        </w:rPr>
        <w:t>3）现场指导抢救人员，消除危险物品；</w:t>
      </w:r>
    </w:p>
    <w:p>
      <w:pPr>
        <w:ind w:firstLine="560"/>
        <w:rPr>
          <w:color w:val="000000"/>
        </w:rPr>
      </w:pPr>
      <w:r>
        <w:rPr>
          <w:color w:val="000000"/>
        </w:rPr>
        <w:t>4）有计划、有针对性地预测设备、管道泄漏部位，进行计划性检修，并进行封、围、堵等抢救措施的训练和实战演习。</w:t>
      </w:r>
    </w:p>
    <w:p>
      <w:pPr>
        <w:pStyle w:val="5"/>
        <w:rPr>
          <w:color w:val="000000"/>
        </w:rPr>
      </w:pPr>
      <w:r>
        <w:rPr>
          <w:color w:val="000000"/>
        </w:rPr>
        <w:t>4.3.2疏散引导组</w:t>
      </w:r>
    </w:p>
    <w:p>
      <w:pPr>
        <w:ind w:firstLine="560"/>
        <w:rPr>
          <w:color w:val="000000"/>
        </w:rPr>
      </w:pPr>
      <w:r>
        <w:rPr>
          <w:color w:val="000000"/>
        </w:rPr>
        <w:t>组长：安国强、杨新峰、刘子华</w:t>
      </w:r>
    </w:p>
    <w:p>
      <w:pPr>
        <w:ind w:firstLine="560"/>
        <w:rPr>
          <w:color w:val="000000"/>
        </w:rPr>
      </w:pPr>
      <w:r>
        <w:rPr>
          <w:color w:val="000000"/>
        </w:rPr>
        <w:t>成员：郭建平、刘世伟、许昌洪、魏国华、赵立功</w:t>
      </w:r>
    </w:p>
    <w:p>
      <w:pPr>
        <w:ind w:firstLine="560"/>
        <w:rPr>
          <w:color w:val="000000"/>
        </w:rPr>
      </w:pPr>
      <w:r>
        <w:rPr>
          <w:color w:val="000000"/>
        </w:rPr>
        <w:t>主要职责：</w:t>
      </w:r>
    </w:p>
    <w:p>
      <w:pPr>
        <w:ind w:firstLine="560"/>
        <w:rPr>
          <w:color w:val="000000"/>
        </w:rPr>
      </w:pPr>
      <w:r>
        <w:rPr>
          <w:color w:val="000000"/>
        </w:rPr>
        <w:t>负责事发地周边安全警戒，疏散突发事件发生区域的人员；实施交通管制和交通疏导，保障救援道路畅通；保护现场，维护现场秩序。</w:t>
      </w:r>
    </w:p>
    <w:p>
      <w:pPr>
        <w:ind w:firstLine="560"/>
        <w:rPr>
          <w:color w:val="000000"/>
        </w:rPr>
      </w:pPr>
      <w:r>
        <w:rPr>
          <w:color w:val="000000"/>
        </w:rPr>
        <w:t>具体工作内容：</w:t>
      </w:r>
    </w:p>
    <w:p>
      <w:pPr>
        <w:ind w:firstLine="560"/>
        <w:rPr>
          <w:color w:val="000000"/>
        </w:rPr>
      </w:pPr>
      <w:r>
        <w:rPr>
          <w:color w:val="000000"/>
        </w:rPr>
        <w:t>1）在事发现场安全距离外拉设隔离带，维护现场四周秩序，保持交通通畅；</w:t>
      </w:r>
    </w:p>
    <w:p>
      <w:pPr>
        <w:ind w:firstLine="560"/>
        <w:rPr>
          <w:color w:val="000000"/>
        </w:rPr>
      </w:pPr>
      <w:r>
        <w:rPr>
          <w:color w:val="000000"/>
        </w:rPr>
        <w:t>2）负责事故现场警戒，保护事故现场级相关数据，等待事故调查人员取证；</w:t>
      </w:r>
    </w:p>
    <w:p>
      <w:pPr>
        <w:ind w:firstLine="560"/>
        <w:rPr>
          <w:color w:val="000000"/>
        </w:rPr>
      </w:pPr>
      <w:r>
        <w:rPr>
          <w:color w:val="000000"/>
        </w:rPr>
        <w:t>3）疏散厂外周边人员；</w:t>
      </w:r>
    </w:p>
    <w:p>
      <w:pPr>
        <w:ind w:firstLine="560"/>
        <w:rPr>
          <w:color w:val="000000"/>
        </w:rPr>
      </w:pPr>
      <w:r>
        <w:rPr>
          <w:color w:val="000000"/>
        </w:rPr>
        <w:t>4）接到指令后，打开公司大门，引导外来救援力量进入事故现场，严禁无关人员、车辆通行；引导消防人员或医护人员进入事故现场。</w:t>
      </w:r>
    </w:p>
    <w:p>
      <w:pPr>
        <w:pStyle w:val="5"/>
        <w:rPr>
          <w:color w:val="000000"/>
        </w:rPr>
      </w:pPr>
      <w:r>
        <w:rPr>
          <w:color w:val="000000"/>
        </w:rPr>
        <w:t>4.3.3后勤保障组</w:t>
      </w:r>
    </w:p>
    <w:p>
      <w:pPr>
        <w:ind w:firstLine="560"/>
        <w:rPr>
          <w:color w:val="000000"/>
        </w:rPr>
      </w:pPr>
      <w:r>
        <w:rPr>
          <w:color w:val="000000"/>
        </w:rPr>
        <w:t>组长：赵宏飞、孙锎、谢瑞达</w:t>
      </w:r>
    </w:p>
    <w:p>
      <w:pPr>
        <w:ind w:firstLine="560"/>
        <w:rPr>
          <w:color w:val="000000"/>
        </w:rPr>
      </w:pPr>
      <w:r>
        <w:rPr>
          <w:color w:val="000000"/>
        </w:rPr>
        <w:t>成员：李莉、史晓飞、张春钢</w:t>
      </w:r>
    </w:p>
    <w:p>
      <w:pPr>
        <w:ind w:firstLine="560"/>
        <w:rPr>
          <w:color w:val="000000"/>
        </w:rPr>
      </w:pPr>
      <w:r>
        <w:rPr>
          <w:color w:val="000000"/>
        </w:rPr>
        <w:t>主要职责：</w:t>
      </w:r>
    </w:p>
    <w:p>
      <w:pPr>
        <w:ind w:firstLine="560"/>
        <w:rPr>
          <w:color w:val="000000"/>
        </w:rPr>
      </w:pPr>
      <w:r>
        <w:rPr>
          <w:color w:val="000000"/>
        </w:rPr>
        <w:t>负责应急救援物资运输供应，确保通讯（供电）畅通， 确保应急救援人员饮水、食宿等，以及领导小组安排的其他工作。</w:t>
      </w:r>
    </w:p>
    <w:p>
      <w:pPr>
        <w:ind w:firstLine="560"/>
        <w:rPr>
          <w:color w:val="000000"/>
        </w:rPr>
      </w:pPr>
      <w:r>
        <w:rPr>
          <w:color w:val="000000"/>
        </w:rPr>
        <w:t>具体工作内容：</w:t>
      </w:r>
    </w:p>
    <w:p>
      <w:pPr>
        <w:ind w:firstLine="560"/>
        <w:rPr>
          <w:color w:val="000000"/>
        </w:rPr>
      </w:pPr>
      <w:r>
        <w:rPr>
          <w:color w:val="000000"/>
        </w:rPr>
        <w:t>1）在接到报警后，根据现场实际需要，调用应急物资、装备；</w:t>
      </w:r>
    </w:p>
    <w:p>
      <w:pPr>
        <w:ind w:firstLine="560"/>
        <w:rPr>
          <w:color w:val="000000"/>
        </w:rPr>
      </w:pPr>
      <w:r>
        <w:rPr>
          <w:color w:val="000000"/>
        </w:rPr>
        <w:t>2）负责抢险救援物质的运输；</w:t>
      </w:r>
    </w:p>
    <w:p>
      <w:pPr>
        <w:ind w:firstLine="560"/>
        <w:rPr>
          <w:color w:val="000000"/>
        </w:rPr>
      </w:pPr>
      <w:r>
        <w:rPr>
          <w:color w:val="000000"/>
        </w:rPr>
        <w:t>3）负责对应急物资和应急装备的日常维护和管理，确保其处于良好的备用状态。</w:t>
      </w:r>
    </w:p>
    <w:p>
      <w:pPr>
        <w:pStyle w:val="5"/>
        <w:rPr>
          <w:color w:val="000000"/>
        </w:rPr>
      </w:pPr>
      <w:r>
        <w:rPr>
          <w:color w:val="000000"/>
        </w:rPr>
        <w:t>4.3.4通讯联络组</w:t>
      </w:r>
    </w:p>
    <w:p>
      <w:pPr>
        <w:ind w:firstLine="560"/>
        <w:rPr>
          <w:color w:val="000000"/>
        </w:rPr>
      </w:pPr>
      <w:r>
        <w:rPr>
          <w:color w:val="000000"/>
        </w:rPr>
        <w:t>组长：时国强、臧春田、李炳强</w:t>
      </w:r>
    </w:p>
    <w:p>
      <w:pPr>
        <w:ind w:firstLine="560"/>
        <w:rPr>
          <w:color w:val="000000"/>
        </w:rPr>
      </w:pPr>
      <w:r>
        <w:rPr>
          <w:color w:val="000000"/>
        </w:rPr>
        <w:t>成员：汤金炎、吴彬、汪洋</w:t>
      </w:r>
    </w:p>
    <w:p>
      <w:pPr>
        <w:ind w:firstLine="560"/>
        <w:rPr>
          <w:color w:val="000000"/>
        </w:rPr>
      </w:pPr>
      <w:r>
        <w:rPr>
          <w:color w:val="000000"/>
        </w:rPr>
        <w:t>主要职责：</w:t>
      </w:r>
    </w:p>
    <w:p>
      <w:pPr>
        <w:ind w:firstLine="560"/>
        <w:rPr>
          <w:color w:val="000000"/>
        </w:rPr>
      </w:pPr>
      <w:r>
        <w:rPr>
          <w:color w:val="000000"/>
        </w:rPr>
        <w:t>负责尽快维修被破坏的通讯设施，保障救灾通讯畅通，以保障抢险工作顺利进行；保证公司与上级政府部门的通讯联系畅通；架设公司指挥部与各组部门的临时专用电话，抢修被破坏的通讯线路，恢复通讯。</w:t>
      </w:r>
    </w:p>
    <w:p>
      <w:pPr>
        <w:ind w:firstLine="560"/>
        <w:rPr>
          <w:color w:val="000000"/>
        </w:rPr>
      </w:pPr>
      <w:r>
        <w:rPr>
          <w:color w:val="000000"/>
        </w:rPr>
        <w:t>具体工作内容：</w:t>
      </w:r>
    </w:p>
    <w:p>
      <w:pPr>
        <w:ind w:firstLine="560"/>
        <w:rPr>
          <w:color w:val="000000"/>
        </w:rPr>
      </w:pPr>
      <w:r>
        <w:rPr>
          <w:color w:val="000000"/>
        </w:rPr>
        <w:t>1）接到报警后，立即采取措施中断一般外线电话，确保事故处理外线畅通、应急值班室处理事故所用电话迅速、准确无误；</w:t>
      </w:r>
    </w:p>
    <w:p>
      <w:pPr>
        <w:ind w:firstLine="560"/>
        <w:rPr>
          <w:color w:val="000000"/>
        </w:rPr>
      </w:pPr>
      <w:r>
        <w:rPr>
          <w:color w:val="000000"/>
        </w:rPr>
        <w:t>2）根据应急指挥的要求通知应急处置队伍及有关部门或下达指令。</w:t>
      </w:r>
    </w:p>
    <w:p>
      <w:pPr>
        <w:pStyle w:val="5"/>
        <w:rPr>
          <w:color w:val="000000"/>
        </w:rPr>
      </w:pPr>
      <w:r>
        <w:rPr>
          <w:color w:val="000000"/>
        </w:rPr>
        <w:t>4.3.5环境应急组</w:t>
      </w:r>
    </w:p>
    <w:p>
      <w:pPr>
        <w:ind w:firstLine="560"/>
        <w:rPr>
          <w:color w:val="000000"/>
        </w:rPr>
      </w:pPr>
      <w:r>
        <w:rPr>
          <w:color w:val="000000"/>
        </w:rPr>
        <w:t>组长：韩逢春、荣德赛、刘永欢</w:t>
      </w:r>
    </w:p>
    <w:p>
      <w:pPr>
        <w:ind w:firstLine="560"/>
        <w:rPr>
          <w:color w:val="000000"/>
        </w:rPr>
      </w:pPr>
      <w:r>
        <w:rPr>
          <w:color w:val="000000"/>
        </w:rPr>
        <w:t>成员：温佳木、王霜、李兰</w:t>
      </w:r>
    </w:p>
    <w:p>
      <w:pPr>
        <w:ind w:firstLine="560"/>
        <w:rPr>
          <w:color w:val="000000"/>
        </w:rPr>
      </w:pPr>
      <w:r>
        <w:rPr>
          <w:color w:val="000000"/>
        </w:rPr>
        <w:t>主要职责：</w:t>
      </w:r>
    </w:p>
    <w:p>
      <w:pPr>
        <w:ind w:firstLine="560"/>
        <w:rPr>
          <w:color w:val="000000"/>
        </w:rPr>
      </w:pPr>
      <w:r>
        <w:rPr>
          <w:color w:val="000000"/>
        </w:rPr>
        <w:t>配合环境监测站开展应急监测工作。</w:t>
      </w:r>
    </w:p>
    <w:p>
      <w:pPr>
        <w:ind w:firstLine="560"/>
        <w:rPr>
          <w:color w:val="000000"/>
        </w:rPr>
      </w:pPr>
      <w:r>
        <w:rPr>
          <w:color w:val="000000"/>
        </w:rPr>
        <w:t>具体工作内容：</w:t>
      </w:r>
    </w:p>
    <w:p>
      <w:pPr>
        <w:ind w:firstLine="560"/>
        <w:rPr>
          <w:color w:val="000000"/>
        </w:rPr>
      </w:pPr>
      <w:r>
        <w:rPr>
          <w:color w:val="000000"/>
        </w:rPr>
        <w:t>1）配合环境监测站开展应急监测工作，将监测结果及时报告应急救援指挥部；</w:t>
      </w:r>
    </w:p>
    <w:p>
      <w:pPr>
        <w:ind w:firstLine="560"/>
        <w:rPr>
          <w:color w:val="000000"/>
        </w:rPr>
      </w:pPr>
      <w:r>
        <w:rPr>
          <w:color w:val="000000"/>
        </w:rPr>
        <w:t>2）负责灭火、抢险后事故现场的洗消去污</w:t>
      </w:r>
      <w:r>
        <w:rPr>
          <w:rFonts w:hint="eastAsia"/>
          <w:color w:val="000000"/>
        </w:rPr>
        <w:t>、</w:t>
      </w:r>
      <w:r>
        <w:rPr>
          <w:color w:val="000000"/>
        </w:rPr>
        <w:t>净化，泄漏物防化、防毒处理，为恢复生产做好准备。</w:t>
      </w:r>
    </w:p>
    <w:p>
      <w:pPr>
        <w:ind w:firstLine="560"/>
        <w:rPr>
          <w:color w:val="000000"/>
        </w:rPr>
      </w:pPr>
      <w:r>
        <w:rPr>
          <w:color w:val="000000"/>
        </w:rPr>
        <w:t>3）组织技术支持，在需要的情况下，组织相关技术人员对现场化学品相关情况提供技术支持。</w:t>
      </w:r>
    </w:p>
    <w:p>
      <w:pPr>
        <w:pStyle w:val="4"/>
        <w:rPr>
          <w:color w:val="000000"/>
        </w:rPr>
      </w:pPr>
      <w:bookmarkStart w:id="18" w:name="_Toc120195380"/>
      <w:r>
        <w:rPr>
          <w:color w:val="000000"/>
        </w:rPr>
        <w:t>4.4政府主导应急处置后的指挥与协调</w:t>
      </w:r>
      <w:bookmarkEnd w:id="18"/>
    </w:p>
    <w:p>
      <w:pPr>
        <w:ind w:firstLine="560"/>
        <w:rPr>
          <w:color w:val="000000"/>
        </w:rPr>
        <w:sectPr>
          <w:pgSz w:w="11906" w:h="16838"/>
          <w:pgMar w:top="1440" w:right="1800" w:bottom="1440" w:left="1800" w:header="851" w:footer="992" w:gutter="0"/>
          <w:cols w:space="720" w:num="1"/>
          <w:docGrid w:type="linesAndChars" w:linePitch="312" w:charSpace="0"/>
        </w:sectPr>
      </w:pPr>
      <w:r>
        <w:rPr>
          <w:color w:val="000000"/>
        </w:rPr>
        <w:t>天津海光药业股份有限公司发生突发环境事件影响到公司外，天津海光药业股份有限公司应对能力不足时，及时向天津市经济开发区应急管理局、经济开发区生态环境主管部门及外部有关单位求援。当由政府或生态环境局等有关部门介入或主导天津海光药业股份有限公司突发环境事件的应急处置工作时，公司内部应急组织机构成员不变，职责由负责应急处置转变为服从指挥，配合相关部门参与处置工作，配合责任人为公司内部应急总指挥宋明峰。</w:t>
      </w:r>
    </w:p>
    <w:p>
      <w:pPr>
        <w:pStyle w:val="3"/>
        <w:rPr>
          <w:color w:val="000000"/>
        </w:rPr>
      </w:pPr>
      <w:bookmarkStart w:id="19" w:name="_Toc120195381"/>
      <w:r>
        <w:rPr>
          <w:color w:val="000000"/>
        </w:rPr>
        <w:t>5应急能力建设</w:t>
      </w:r>
      <w:bookmarkEnd w:id="19"/>
    </w:p>
    <w:p>
      <w:pPr>
        <w:pStyle w:val="4"/>
        <w:rPr>
          <w:color w:val="000000"/>
        </w:rPr>
      </w:pPr>
      <w:bookmarkStart w:id="20" w:name="_Toc120195382"/>
      <w:r>
        <w:rPr>
          <w:color w:val="000000"/>
        </w:rPr>
        <w:t>5.1应急处置队伍建设</w:t>
      </w:r>
      <w:bookmarkEnd w:id="20"/>
    </w:p>
    <w:p>
      <w:pPr>
        <w:pStyle w:val="5"/>
        <w:rPr>
          <w:color w:val="000000"/>
        </w:rPr>
      </w:pPr>
      <w:r>
        <w:rPr>
          <w:color w:val="000000"/>
        </w:rPr>
        <w:t>5.1.1专业应急队伍保障</w:t>
      </w:r>
    </w:p>
    <w:p>
      <w:pPr>
        <w:ind w:firstLine="560"/>
        <w:rPr>
          <w:color w:val="000000"/>
        </w:rPr>
      </w:pPr>
      <w:r>
        <w:rPr>
          <w:color w:val="000000"/>
        </w:rPr>
        <w:t>在事件发生时，值班领导、调度、班长、岗位操作人员及值班维修人员组成最初应急组织，一旦发现情况紧急，启动最初应急预案，由值班领导或调度担任最初应急指挥，调动当班人员作为应急小组， 根据险情可控程度，值班领导或调度随时向应急指挥部汇报，做好对事件升级的准备。</w:t>
      </w:r>
    </w:p>
    <w:p>
      <w:pPr>
        <w:ind w:firstLine="560"/>
        <w:rPr>
          <w:color w:val="000000"/>
        </w:rPr>
      </w:pPr>
      <w:r>
        <w:rPr>
          <w:color w:val="000000"/>
        </w:rPr>
        <w:t>指挥和现场指挥必须经过上级管理部门专业培训，班长与岗位操作人员必须经三级考试，取得上岗作业证的人员担任。</w:t>
      </w:r>
    </w:p>
    <w:p>
      <w:pPr>
        <w:pStyle w:val="5"/>
        <w:rPr>
          <w:color w:val="000000"/>
        </w:rPr>
      </w:pPr>
      <w:r>
        <w:rPr>
          <w:color w:val="000000"/>
        </w:rPr>
        <w:t>5.1.2兼职应急队伍保障</w:t>
      </w:r>
    </w:p>
    <w:p>
      <w:pPr>
        <w:ind w:firstLine="560"/>
        <w:rPr>
          <w:color w:val="000000"/>
        </w:rPr>
      </w:pPr>
      <w:r>
        <w:rPr>
          <w:color w:val="000000"/>
        </w:rPr>
        <w:t>根据最初应急组织汇报，值班经理担任现场应急指挥，应急指挥部和生产调度应迅速组织事件单位主任、当班班长、岗位操作工、值班人员，在应急指挥的指导下立即做出应急反应，同时向应急总指挥汇报，做好全体应急救援工作的准备。</w:t>
      </w:r>
    </w:p>
    <w:p>
      <w:pPr>
        <w:pStyle w:val="5"/>
        <w:rPr>
          <w:color w:val="000000"/>
        </w:rPr>
      </w:pPr>
      <w:r>
        <w:rPr>
          <w:color w:val="000000"/>
        </w:rPr>
        <w:t>5.1.3全体应急反应组织队伍保障</w:t>
      </w:r>
    </w:p>
    <w:p>
      <w:pPr>
        <w:ind w:firstLine="560"/>
        <w:rPr>
          <w:color w:val="000000"/>
        </w:rPr>
      </w:pPr>
      <w:r>
        <w:rPr>
          <w:color w:val="000000"/>
        </w:rPr>
        <w:t>一旦事件升级，由机关干部、各车间职能人员、生产骨干组成应急反应组织队伍，扩充到各个应急小组。</w:t>
      </w:r>
    </w:p>
    <w:p>
      <w:pPr>
        <w:ind w:firstLine="560"/>
        <w:rPr>
          <w:color w:val="000000"/>
        </w:rPr>
      </w:pPr>
      <w:r>
        <w:rPr>
          <w:color w:val="000000"/>
        </w:rPr>
        <w:t>本公司应急队伍人员配置见表5.1-1。</w:t>
      </w:r>
    </w:p>
    <w:p>
      <w:pPr>
        <w:ind w:firstLine="0" w:firstLineChars="0"/>
        <w:jc w:val="center"/>
        <w:rPr>
          <w:color w:val="000000"/>
          <w:szCs w:val="24"/>
        </w:rPr>
      </w:pPr>
    </w:p>
    <w:p>
      <w:pPr>
        <w:ind w:firstLine="0" w:firstLineChars="0"/>
        <w:jc w:val="center"/>
        <w:rPr>
          <w:color w:val="000000"/>
          <w:szCs w:val="24"/>
        </w:rPr>
      </w:pPr>
    </w:p>
    <w:p>
      <w:pPr>
        <w:ind w:firstLine="0" w:firstLineChars="0"/>
        <w:jc w:val="center"/>
        <w:rPr>
          <w:color w:val="000000"/>
          <w:szCs w:val="24"/>
        </w:rPr>
      </w:pPr>
    </w:p>
    <w:p>
      <w:pPr>
        <w:ind w:firstLine="0" w:firstLineChars="0"/>
        <w:jc w:val="center"/>
        <w:rPr>
          <w:color w:val="000000"/>
          <w:szCs w:val="24"/>
        </w:rPr>
      </w:pPr>
      <w:r>
        <w:rPr>
          <w:color w:val="000000"/>
          <w:szCs w:val="24"/>
        </w:rPr>
        <w:t xml:space="preserve">表5.1-1 </w:t>
      </w:r>
      <w:r>
        <w:rPr>
          <w:rFonts w:hint="eastAsia"/>
          <w:color w:val="000000"/>
          <w:szCs w:val="24"/>
        </w:rPr>
        <w:t xml:space="preserve"> </w:t>
      </w:r>
      <w:r>
        <w:rPr>
          <w:color w:val="000000"/>
          <w:szCs w:val="24"/>
        </w:rPr>
        <w:t>现有应急救援队伍及人员</w:t>
      </w:r>
    </w:p>
    <w:tbl>
      <w:tblPr>
        <w:tblStyle w:val="11"/>
        <w:tblW w:w="80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1048"/>
        <w:gridCol w:w="1057"/>
        <w:gridCol w:w="1984"/>
        <w:gridCol w:w="1559"/>
        <w:gridCol w:w="13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56" w:type="dxa"/>
            <w:gridSpan w:val="2"/>
            <w:noWrap w:val="0"/>
            <w:vAlign w:val="center"/>
          </w:tcPr>
          <w:p>
            <w:pPr>
              <w:widowControl/>
              <w:adjustRightInd w:val="0"/>
              <w:snapToGrid w:val="0"/>
              <w:spacing w:line="240" w:lineRule="auto"/>
              <w:ind w:firstLine="0" w:firstLineChars="0"/>
              <w:jc w:val="center"/>
              <w:rPr>
                <w:color w:val="000000"/>
                <w:kern w:val="0"/>
                <w:sz w:val="24"/>
                <w:szCs w:val="24"/>
              </w:rPr>
            </w:pPr>
            <w:r>
              <w:rPr>
                <w:color w:val="000000"/>
                <w:kern w:val="0"/>
                <w:sz w:val="24"/>
                <w:szCs w:val="24"/>
              </w:rPr>
              <w:t>组成</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姓名</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职务</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手机</w:t>
            </w:r>
          </w:p>
        </w:tc>
        <w:tc>
          <w:tcPr>
            <w:tcW w:w="135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24小时值班电话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56" w:type="dxa"/>
            <w:gridSpan w:val="2"/>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总指挥</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宋明峰</w:t>
            </w:r>
          </w:p>
        </w:tc>
        <w:tc>
          <w:tcPr>
            <w:tcW w:w="1984" w:type="dxa"/>
            <w:noWrap w:val="0"/>
            <w:vAlign w:val="center"/>
          </w:tcPr>
          <w:p>
            <w:pPr>
              <w:autoSpaceDE w:val="0"/>
              <w:autoSpaceDN w:val="0"/>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总经理</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13820225588</w:t>
            </w:r>
          </w:p>
        </w:tc>
        <w:tc>
          <w:tcPr>
            <w:tcW w:w="1354" w:type="dxa"/>
            <w:vMerge w:val="restart"/>
            <w:noWrap w:val="0"/>
            <w:vAlign w:val="center"/>
          </w:tcPr>
          <w:p>
            <w:pPr>
              <w:widowControl/>
              <w:adjustRightInd w:val="0"/>
              <w:snapToGrid w:val="0"/>
              <w:spacing w:line="240" w:lineRule="auto"/>
              <w:ind w:firstLine="0" w:firstLineChars="0"/>
              <w:jc w:val="center"/>
              <w:rPr>
                <w:color w:val="000000"/>
                <w:kern w:val="0"/>
                <w:sz w:val="24"/>
                <w:szCs w:val="24"/>
              </w:rPr>
            </w:pPr>
            <w:r>
              <w:rPr>
                <w:color w:val="000000"/>
                <w:kern w:val="0"/>
                <w:sz w:val="24"/>
                <w:szCs w:val="24"/>
              </w:rPr>
              <w:t>25290061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56" w:type="dxa"/>
            <w:gridSpan w:val="2"/>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副总指挥</w:t>
            </w:r>
          </w:p>
        </w:tc>
        <w:tc>
          <w:tcPr>
            <w:tcW w:w="1057" w:type="dxa"/>
            <w:noWrap w:val="0"/>
            <w:vAlign w:val="center"/>
          </w:tcPr>
          <w:p>
            <w:pPr>
              <w:adjustRightInd w:val="0"/>
              <w:snapToGrid w:val="0"/>
              <w:spacing w:line="240" w:lineRule="auto"/>
              <w:ind w:firstLine="0" w:firstLineChars="0"/>
              <w:jc w:val="center"/>
              <w:textAlignment w:val="baseline"/>
              <w:rPr>
                <w:color w:val="000000"/>
                <w:sz w:val="24"/>
                <w:szCs w:val="24"/>
              </w:rPr>
            </w:pPr>
            <w:r>
              <w:rPr>
                <w:color w:val="000000"/>
                <w:sz w:val="24"/>
                <w:szCs w:val="24"/>
              </w:rPr>
              <w:t>李洪军</w:t>
            </w:r>
          </w:p>
        </w:tc>
        <w:tc>
          <w:tcPr>
            <w:tcW w:w="1984" w:type="dxa"/>
            <w:noWrap w:val="0"/>
            <w:vAlign w:val="center"/>
          </w:tcPr>
          <w:p>
            <w:pPr>
              <w:adjustRightInd w:val="0"/>
              <w:snapToGrid w:val="0"/>
              <w:spacing w:line="240" w:lineRule="auto"/>
              <w:ind w:firstLine="0" w:firstLineChars="0"/>
              <w:jc w:val="center"/>
              <w:textAlignment w:val="baseline"/>
              <w:rPr>
                <w:color w:val="000000"/>
                <w:sz w:val="24"/>
                <w:szCs w:val="24"/>
              </w:rPr>
            </w:pPr>
            <w:r>
              <w:rPr>
                <w:color w:val="000000"/>
                <w:sz w:val="24"/>
                <w:szCs w:val="24"/>
              </w:rPr>
              <w:t>副总经理、安全总监</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13920075944</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restart"/>
            <w:noWrap w:val="0"/>
            <w:vAlign w:val="center"/>
          </w:tcPr>
          <w:p>
            <w:pPr>
              <w:adjustRightInd w:val="0"/>
              <w:snapToGrid w:val="0"/>
              <w:spacing w:line="240" w:lineRule="auto"/>
              <w:ind w:firstLine="0" w:firstLineChars="0"/>
              <w:jc w:val="center"/>
              <w:textAlignment w:val="baseline"/>
              <w:rPr>
                <w:color w:val="000000"/>
                <w:kern w:val="0"/>
                <w:sz w:val="24"/>
                <w:szCs w:val="24"/>
              </w:rPr>
            </w:pPr>
            <w:r>
              <w:rPr>
                <w:rFonts w:hint="eastAsia"/>
                <w:color w:val="000000"/>
                <w:kern w:val="0"/>
                <w:sz w:val="24"/>
                <w:szCs w:val="24"/>
              </w:rPr>
              <w:t>现场</w:t>
            </w:r>
            <w:r>
              <w:rPr>
                <w:color w:val="000000"/>
                <w:kern w:val="0"/>
                <w:sz w:val="24"/>
                <w:szCs w:val="24"/>
              </w:rPr>
              <w:t>抢险组</w:t>
            </w: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廉洪生</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一车间主任</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13821448995</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郑凯中</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一车间班长</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18633327960</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于洪军</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一车间员工</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13132099870</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耿自伟</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一车间班长</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13821108165</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马超</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一车间班长</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15002241614</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周金亮</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一车间员工</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13752182740</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三班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刘洋</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一车间副主任</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13752274298</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赵建才</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一车间班长</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13920876171</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郭吉青</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一车间员工</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18622858681</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restart"/>
            <w:noWrap w:val="0"/>
            <w:vAlign w:val="center"/>
          </w:tcPr>
          <w:p>
            <w:pPr>
              <w:adjustRightInd w:val="0"/>
              <w:snapToGrid w:val="0"/>
              <w:spacing w:line="240" w:lineRule="auto"/>
              <w:ind w:firstLine="0" w:firstLineChars="0"/>
              <w:jc w:val="center"/>
              <w:textAlignment w:val="baseline"/>
              <w:rPr>
                <w:color w:val="000000"/>
                <w:kern w:val="0"/>
                <w:sz w:val="24"/>
                <w:szCs w:val="24"/>
              </w:rPr>
            </w:pPr>
            <w:r>
              <w:rPr>
                <w:rFonts w:hint="eastAsia"/>
                <w:color w:val="000000"/>
                <w:kern w:val="0"/>
                <w:sz w:val="24"/>
                <w:szCs w:val="24"/>
              </w:rPr>
              <w:t>疏散</w:t>
            </w:r>
            <w:r>
              <w:rPr>
                <w:color w:val="000000"/>
                <w:kern w:val="0"/>
                <w:sz w:val="24"/>
                <w:szCs w:val="24"/>
              </w:rPr>
              <w:t>引导组</w:t>
            </w: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安国强</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三车间副主任</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13820342123</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郭建平</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三车间员工</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18702268818</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刘世伟</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三车间员工</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15222253935</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杨新峰</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二车间主任</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13920756682</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许昌洪</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二车间班长</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18526308861</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三班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刘子华</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二车间副主任</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18622590257</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魏国华</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二车间副主任</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15510886995</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赵立功</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二车间班长</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13163047858</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08" w:type="dxa"/>
            <w:vMerge w:val="restart"/>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后勤保障组</w:t>
            </w: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赵宏飞</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仓储中心主任</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13702165682</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李莉</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仓储中心职员</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17694951968</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孙锎</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仓储中心职员</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15822211212</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史晓飞</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仓储中心职员</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15030058319</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三班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谢瑞达</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仓储中心职员</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13110022572</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张春钢</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仓储中心职员</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13802011228</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restart"/>
            <w:noWrap w:val="0"/>
            <w:vAlign w:val="center"/>
          </w:tcPr>
          <w:p>
            <w:pPr>
              <w:widowControl/>
              <w:adjustRightInd w:val="0"/>
              <w:snapToGrid w:val="0"/>
              <w:spacing w:line="240" w:lineRule="auto"/>
              <w:ind w:firstLine="0" w:firstLineChars="0"/>
              <w:jc w:val="center"/>
              <w:rPr>
                <w:color w:val="000000"/>
                <w:kern w:val="0"/>
                <w:sz w:val="24"/>
                <w:szCs w:val="24"/>
              </w:rPr>
            </w:pPr>
            <w:r>
              <w:rPr>
                <w:color w:val="000000"/>
                <w:kern w:val="0"/>
                <w:sz w:val="24"/>
                <w:szCs w:val="24"/>
              </w:rPr>
              <w:t>通讯联络组</w:t>
            </w: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时国强</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行政办公室副主任</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18222865688</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汤金炎</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一车间中控</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17502216653</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李炳强</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保卫干部</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13820102887</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吴彬</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一车间中控</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15002216207</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三班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臧春田</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一车间中控</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13821400653</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汪洋</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一车间中控</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13652158206</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restart"/>
            <w:noWrap w:val="0"/>
            <w:vAlign w:val="center"/>
          </w:tcPr>
          <w:p>
            <w:pPr>
              <w:widowControl/>
              <w:adjustRightInd w:val="0"/>
              <w:snapToGrid w:val="0"/>
              <w:spacing w:line="240" w:lineRule="auto"/>
              <w:ind w:firstLine="0" w:firstLineChars="0"/>
              <w:jc w:val="center"/>
              <w:rPr>
                <w:color w:val="000000"/>
                <w:kern w:val="0"/>
                <w:sz w:val="24"/>
                <w:szCs w:val="24"/>
              </w:rPr>
            </w:pPr>
            <w:r>
              <w:rPr>
                <w:rFonts w:hint="eastAsia"/>
                <w:color w:val="000000"/>
                <w:kern w:val="0"/>
                <w:sz w:val="24"/>
                <w:szCs w:val="24"/>
              </w:rPr>
              <w:t>环境</w:t>
            </w:r>
            <w:r>
              <w:rPr>
                <w:color w:val="000000"/>
                <w:kern w:val="0"/>
                <w:sz w:val="24"/>
                <w:szCs w:val="24"/>
              </w:rPr>
              <w:t>应急组</w:t>
            </w: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一班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韩逢春</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安环部职员</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13102187207</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温佳木</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中心</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15620936402</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二班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荣德赛</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检验中心主任</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15822442240</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王霜</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检验中心职员</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13622026587</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5648" w:type="dxa"/>
            <w:gridSpan w:val="4"/>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三班</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组长</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刘永欢</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检验中心职员</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13682003087</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c>
          <w:tcPr>
            <w:tcW w:w="1048"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组员</w:t>
            </w:r>
          </w:p>
        </w:tc>
        <w:tc>
          <w:tcPr>
            <w:tcW w:w="1057"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李兰</w:t>
            </w:r>
          </w:p>
        </w:tc>
        <w:tc>
          <w:tcPr>
            <w:tcW w:w="1984"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检验中心职员</w:t>
            </w:r>
          </w:p>
        </w:tc>
        <w:tc>
          <w:tcPr>
            <w:tcW w:w="1559" w:type="dxa"/>
            <w:noWrap w:val="0"/>
            <w:vAlign w:val="center"/>
          </w:tcPr>
          <w:p>
            <w:pPr>
              <w:adjustRightInd w:val="0"/>
              <w:snapToGrid w:val="0"/>
              <w:spacing w:line="240" w:lineRule="auto"/>
              <w:ind w:firstLine="0" w:firstLineChars="0"/>
              <w:jc w:val="center"/>
              <w:textAlignment w:val="baseline"/>
              <w:rPr>
                <w:color w:val="000000"/>
                <w:kern w:val="0"/>
                <w:sz w:val="24"/>
                <w:szCs w:val="24"/>
              </w:rPr>
            </w:pPr>
            <w:r>
              <w:rPr>
                <w:color w:val="000000"/>
                <w:kern w:val="0"/>
                <w:sz w:val="24"/>
                <w:szCs w:val="24"/>
              </w:rPr>
              <w:t>18526519186</w:t>
            </w:r>
          </w:p>
        </w:tc>
        <w:tc>
          <w:tcPr>
            <w:tcW w:w="1354" w:type="dxa"/>
            <w:vMerge w:val="continue"/>
            <w:noWrap w:val="0"/>
            <w:vAlign w:val="center"/>
          </w:tcPr>
          <w:p>
            <w:pPr>
              <w:widowControl/>
              <w:adjustRightInd w:val="0"/>
              <w:snapToGrid w:val="0"/>
              <w:spacing w:line="240" w:lineRule="auto"/>
              <w:ind w:firstLine="0" w:firstLineChars="0"/>
              <w:jc w:val="center"/>
              <w:rPr>
                <w:color w:val="000000"/>
                <w:kern w:val="0"/>
                <w:sz w:val="24"/>
                <w:szCs w:val="24"/>
              </w:rPr>
            </w:pPr>
          </w:p>
        </w:tc>
      </w:tr>
    </w:tbl>
    <w:p>
      <w:pPr>
        <w:pStyle w:val="4"/>
        <w:rPr>
          <w:color w:val="000000"/>
        </w:rPr>
      </w:pPr>
      <w:bookmarkStart w:id="21" w:name="_Toc120195383"/>
      <w:r>
        <w:rPr>
          <w:color w:val="000000"/>
        </w:rPr>
        <w:t>5.2应急资源保障建设</w:t>
      </w:r>
      <w:bookmarkEnd w:id="21"/>
    </w:p>
    <w:p>
      <w:pPr>
        <w:ind w:firstLine="560"/>
        <w:rPr>
          <w:color w:val="000000"/>
        </w:rPr>
      </w:pPr>
      <w:r>
        <w:rPr>
          <w:color w:val="000000"/>
        </w:rPr>
        <w:t>物资保障指应急救援装备物资、物资、药品等，这些物资根据国家有关法律、法规的规定和要求来配备；危险化学品运输车辆、消防设备、器材及人员防护装备按照《中华人民共和国消防法》和有关法律、法规的规定和要求执行配备必需品。</w:t>
      </w:r>
    </w:p>
    <w:p>
      <w:pPr>
        <w:pStyle w:val="5"/>
        <w:rPr>
          <w:color w:val="000000"/>
        </w:rPr>
      </w:pPr>
      <w:r>
        <w:rPr>
          <w:color w:val="000000"/>
        </w:rPr>
        <w:t>5.2.1应急设备</w:t>
      </w:r>
    </w:p>
    <w:p>
      <w:pPr>
        <w:ind w:firstLine="560"/>
        <w:rPr>
          <w:color w:val="000000"/>
        </w:rPr>
      </w:pPr>
      <w:r>
        <w:rPr>
          <w:color w:val="000000"/>
        </w:rPr>
        <w:t>（1）应急个体防护器材：防毒面具、护眼镜、耐酸碱手套、防护服、围裙、正压式呼吸器、救生圈等。</w:t>
      </w:r>
    </w:p>
    <w:p>
      <w:pPr>
        <w:ind w:firstLine="560"/>
        <w:rPr>
          <w:color w:val="000000"/>
        </w:rPr>
      </w:pPr>
      <w:r>
        <w:rPr>
          <w:color w:val="000000"/>
        </w:rPr>
        <w:t>（2）应急物资：消防沙、应急沙袋、应急沙、应急沙箱</w:t>
      </w:r>
      <w:r>
        <w:rPr>
          <w:rFonts w:hint="eastAsia"/>
          <w:color w:val="000000"/>
        </w:rPr>
        <w:t>、</w:t>
      </w:r>
      <w:r>
        <w:rPr>
          <w:color w:val="000000"/>
        </w:rPr>
        <w:t>应急桶</w:t>
      </w:r>
      <w:r>
        <w:rPr>
          <w:rFonts w:hint="eastAsia"/>
          <w:color w:val="000000"/>
        </w:rPr>
        <w:t>、</w:t>
      </w:r>
      <w:r>
        <w:rPr>
          <w:color w:val="000000"/>
        </w:rPr>
        <w:t>铁锹</w:t>
      </w:r>
      <w:r>
        <w:rPr>
          <w:rFonts w:hint="eastAsia"/>
          <w:color w:val="000000"/>
        </w:rPr>
        <w:t>、</w:t>
      </w:r>
      <w:r>
        <w:rPr>
          <w:color w:val="000000"/>
        </w:rPr>
        <w:t>应急事故罐等。</w:t>
      </w:r>
    </w:p>
    <w:p>
      <w:pPr>
        <w:ind w:firstLine="560"/>
        <w:rPr>
          <w:color w:val="000000"/>
        </w:rPr>
      </w:pPr>
      <w:r>
        <w:rPr>
          <w:color w:val="000000"/>
        </w:rPr>
        <w:t>消防设备与消火栓，由安全管理部进行日常管理，定期进行检查， 保证随时可以开启使用。</w:t>
      </w:r>
    </w:p>
    <w:p>
      <w:pPr>
        <w:ind w:firstLine="560"/>
        <w:rPr>
          <w:color w:val="000000"/>
        </w:rPr>
      </w:pPr>
      <w:r>
        <w:rPr>
          <w:color w:val="000000"/>
        </w:rPr>
        <w:t>（4）应急医疗器材：应急防护用品箱、洗眼器等。</w:t>
      </w:r>
    </w:p>
    <w:p>
      <w:pPr>
        <w:pStyle w:val="5"/>
        <w:rPr>
          <w:color w:val="000000"/>
        </w:rPr>
      </w:pPr>
      <w:r>
        <w:rPr>
          <w:color w:val="000000"/>
        </w:rPr>
        <w:t>5.2.2应急物资</w:t>
      </w:r>
    </w:p>
    <w:p>
      <w:pPr>
        <w:ind w:firstLine="560"/>
        <w:rPr>
          <w:color w:val="000000"/>
        </w:rPr>
      </w:pPr>
      <w:r>
        <w:rPr>
          <w:color w:val="000000"/>
        </w:rPr>
        <w:t>参考《天津海光药业股份有限公司环境应急资源调查报告表》的相关内容，应急设施及物资等资源情况如下所示。</w:t>
      </w:r>
    </w:p>
    <w:p>
      <w:pPr>
        <w:ind w:firstLine="0" w:firstLineChars="0"/>
        <w:jc w:val="center"/>
        <w:rPr>
          <w:color w:val="000000"/>
          <w:szCs w:val="24"/>
        </w:rPr>
      </w:pPr>
      <w:r>
        <w:rPr>
          <w:color w:val="000000"/>
          <w:szCs w:val="24"/>
        </w:rPr>
        <w:t>表5.2-1 公司应急物资和装备清单</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680"/>
        <w:gridCol w:w="708"/>
        <w:gridCol w:w="851"/>
        <w:gridCol w:w="166"/>
        <w:gridCol w:w="823"/>
        <w:gridCol w:w="144"/>
        <w:gridCol w:w="851"/>
        <w:gridCol w:w="851"/>
        <w:gridCol w:w="1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6" w:type="dxa"/>
            <w:gridSpan w:val="10"/>
            <w:tcBorders>
              <w:top w:val="single" w:color="auto" w:sz="12" w:space="0"/>
              <w:left w:val="single" w:color="auto" w:sz="12" w:space="0"/>
              <w:bottom w:val="single" w:color="auto" w:sz="4" w:space="0"/>
              <w:right w:val="single" w:color="auto" w:sz="12" w:space="0"/>
            </w:tcBorders>
            <w:noWrap w:val="0"/>
            <w:vAlign w:val="center"/>
          </w:tcPr>
          <w:p>
            <w:pPr>
              <w:ind w:firstLine="0" w:firstLineChars="0"/>
              <w:jc w:val="center"/>
              <w:rPr>
                <w:bCs/>
                <w:color w:val="000000"/>
                <w:sz w:val="24"/>
                <w:szCs w:val="24"/>
              </w:rPr>
            </w:pPr>
            <w:r>
              <w:rPr>
                <w:rFonts w:hint="eastAsia" w:ascii="仿宋" w:hAnsi="仿宋"/>
                <w:bCs/>
                <w:color w:val="000000"/>
                <w:sz w:val="24"/>
                <w:szCs w:val="24"/>
              </w:rPr>
              <w:t>环境应急资源信息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bCs/>
                <w:color w:val="000000"/>
                <w:sz w:val="24"/>
                <w:szCs w:val="24"/>
              </w:rPr>
            </w:pPr>
            <w:r>
              <w:rPr>
                <w:rFonts w:hint="eastAsia" w:ascii="仿宋" w:hAnsi="仿宋"/>
                <w:bCs/>
                <w:color w:val="000000"/>
                <w:sz w:val="24"/>
                <w:szCs w:val="24"/>
              </w:rPr>
              <w:t>序号</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bCs/>
                <w:color w:val="000000"/>
                <w:sz w:val="24"/>
                <w:szCs w:val="24"/>
              </w:rPr>
            </w:pPr>
            <w:r>
              <w:rPr>
                <w:rFonts w:hint="eastAsia" w:ascii="仿宋" w:hAnsi="仿宋"/>
                <w:bCs/>
                <w:color w:val="000000"/>
                <w:sz w:val="24"/>
                <w:szCs w:val="24"/>
              </w:rPr>
              <w:t>名称</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bCs/>
                <w:color w:val="000000"/>
                <w:sz w:val="24"/>
                <w:szCs w:val="24"/>
              </w:rPr>
            </w:pPr>
            <w:r>
              <w:rPr>
                <w:rFonts w:hint="eastAsia" w:ascii="仿宋" w:hAnsi="仿宋"/>
                <w:bCs/>
                <w:color w:val="000000"/>
                <w:sz w:val="24"/>
                <w:szCs w:val="24"/>
              </w:rPr>
              <w:t>品牌</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bCs/>
                <w:color w:val="000000"/>
                <w:sz w:val="24"/>
                <w:szCs w:val="24"/>
              </w:rPr>
            </w:pPr>
            <w:r>
              <w:rPr>
                <w:rFonts w:hint="eastAsia" w:ascii="仿宋" w:hAnsi="仿宋"/>
                <w:bCs/>
                <w:color w:val="000000"/>
                <w:sz w:val="24"/>
                <w:szCs w:val="24"/>
              </w:rPr>
              <w:t>型号</w:t>
            </w:r>
            <w:r>
              <w:rPr>
                <w:bCs/>
                <w:color w:val="000000"/>
                <w:sz w:val="24"/>
                <w:szCs w:val="24"/>
              </w:rPr>
              <w:t>/</w:t>
            </w:r>
            <w:r>
              <w:rPr>
                <w:rFonts w:hint="eastAsia" w:ascii="仿宋" w:hAnsi="仿宋"/>
                <w:bCs/>
                <w:color w:val="000000"/>
                <w:sz w:val="24"/>
                <w:szCs w:val="24"/>
              </w:rPr>
              <w:t>规格</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bCs/>
                <w:color w:val="000000"/>
                <w:sz w:val="24"/>
                <w:szCs w:val="24"/>
              </w:rPr>
            </w:pPr>
            <w:r>
              <w:rPr>
                <w:rFonts w:hint="eastAsia" w:ascii="仿宋" w:hAnsi="仿宋"/>
                <w:bCs/>
                <w:color w:val="000000"/>
                <w:sz w:val="24"/>
                <w:szCs w:val="24"/>
              </w:rPr>
              <w:t>储备量</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bCs/>
                <w:color w:val="000000"/>
                <w:sz w:val="24"/>
                <w:szCs w:val="24"/>
              </w:rPr>
            </w:pPr>
            <w:r>
              <w:rPr>
                <w:rFonts w:hint="eastAsia" w:ascii="仿宋" w:hAnsi="仿宋"/>
                <w:bCs/>
                <w:color w:val="000000"/>
                <w:sz w:val="24"/>
                <w:szCs w:val="24"/>
              </w:rPr>
              <w:t>报废日期</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bCs/>
                <w:color w:val="000000"/>
                <w:sz w:val="24"/>
                <w:szCs w:val="24"/>
              </w:rPr>
            </w:pPr>
            <w:r>
              <w:rPr>
                <w:rFonts w:hint="eastAsia" w:ascii="仿宋" w:hAnsi="仿宋"/>
                <w:bCs/>
                <w:color w:val="000000"/>
                <w:sz w:val="24"/>
                <w:szCs w:val="24"/>
              </w:rPr>
              <w:t>主要功能</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bCs/>
                <w:color w:val="000000"/>
                <w:sz w:val="24"/>
                <w:szCs w:val="24"/>
              </w:rPr>
            </w:pPr>
            <w:r>
              <w:rPr>
                <w:rFonts w:hint="eastAsia" w:ascii="仿宋" w:hAnsi="仿宋"/>
                <w:bCs/>
                <w:color w:val="00000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1</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消防沙桶</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长期</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消防</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检验中心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消防沙</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kg</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10</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2028年</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砐附</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检验中心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3</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应急沙袋</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袋</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5</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2030年</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雨水排放口、车间、储罐区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4</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托盘</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3</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预防</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检验中心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5</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纯碱</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kg</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100</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2026年</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6</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应急药箱</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5</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救生</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车间、保全、仓库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7</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护眼镜</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副</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5</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防护</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岗位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8</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防毒面具</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套</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4</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2025年</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防护</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9</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洗眼器</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套</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8</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防护</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车间、检验中心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r>
              <w:rPr>
                <w:rFonts w:hint="eastAsia"/>
                <w:color w:val="000000"/>
                <w:sz w:val="24"/>
                <w:szCs w:val="24"/>
              </w:rPr>
              <w:t>0</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防护服</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套</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4</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防护</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r>
              <w:rPr>
                <w:rFonts w:hint="eastAsia"/>
                <w:color w:val="000000"/>
                <w:sz w:val="24"/>
                <w:szCs w:val="24"/>
              </w:rPr>
              <w:t>1</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围裙</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套</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防护</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r>
              <w:rPr>
                <w:rFonts w:hint="eastAsia"/>
                <w:color w:val="000000"/>
                <w:sz w:val="24"/>
                <w:szCs w:val="24"/>
              </w:rPr>
              <w:t>2</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废液收集瓶</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瓶</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3</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检验中心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r>
              <w:rPr>
                <w:rFonts w:hint="eastAsia"/>
                <w:color w:val="000000"/>
                <w:sz w:val="24"/>
                <w:szCs w:val="24"/>
              </w:rPr>
              <w:t>3</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安全绳</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根</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r>
              <w:rPr>
                <w:rFonts w:hint="eastAsia"/>
                <w:color w:val="000000"/>
                <w:sz w:val="24"/>
                <w:szCs w:val="24"/>
              </w:rPr>
              <w:t>4</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应急沙箱</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西门卫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r>
              <w:rPr>
                <w:rFonts w:hint="eastAsia"/>
                <w:color w:val="000000"/>
                <w:sz w:val="24"/>
                <w:szCs w:val="24"/>
              </w:rPr>
              <w:t>5</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应急沙</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kg</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50</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西门卫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r>
              <w:rPr>
                <w:rFonts w:hint="eastAsia"/>
                <w:color w:val="000000"/>
                <w:sz w:val="24"/>
                <w:szCs w:val="24"/>
              </w:rPr>
              <w:t>6</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正压式呼吸器</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套</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3</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2026年</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17</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救生圈</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2</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化盐池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18</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应急防护用品箱</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5</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19</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耐酸碱手套</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副</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5</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2025年</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20</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铁锹</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4</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21</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抹布</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6</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22</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应急桶</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3</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长期</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23</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排污泵</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1</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长期</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rFonts w:ascii="仿宋" w:hAnsi="仿宋"/>
                <w:color w:val="000000"/>
                <w:sz w:val="24"/>
                <w:szCs w:val="24"/>
              </w:rPr>
            </w:pPr>
            <w:r>
              <w:rPr>
                <w:rFonts w:hint="eastAsia" w:ascii="仿宋" w:hAnsi="仿宋"/>
                <w:color w:val="000000"/>
                <w:sz w:val="24"/>
                <w:szCs w:val="24"/>
              </w:rPr>
              <w:t>三车间车间碳化区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rFonts w:hint="eastAsia"/>
                <w:color w:val="000000"/>
                <w:sz w:val="24"/>
                <w:szCs w:val="24"/>
              </w:rPr>
            </w:pPr>
            <w:r>
              <w:rPr>
                <w:rFonts w:hint="eastAsia"/>
                <w:color w:val="000000"/>
                <w:sz w:val="24"/>
                <w:szCs w:val="24"/>
              </w:rPr>
              <w:t>24</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事故罐</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color w:val="000000"/>
                <w:sz w:val="24"/>
                <w:szCs w:val="24"/>
              </w:rPr>
            </w:pPr>
            <w:r>
              <w:rPr>
                <w:rFonts w:hint="eastAsia"/>
                <w:color w:val="000000"/>
                <w:sz w:val="24"/>
                <w:szCs w:val="24"/>
              </w:rPr>
              <w:t>1</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长期</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一车间内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rFonts w:hint="eastAsia"/>
                <w:color w:val="000000"/>
                <w:sz w:val="24"/>
                <w:szCs w:val="24"/>
              </w:rPr>
            </w:pPr>
            <w:r>
              <w:rPr>
                <w:rFonts w:hint="eastAsia"/>
                <w:color w:val="000000"/>
                <w:sz w:val="24"/>
                <w:szCs w:val="24"/>
              </w:rPr>
              <w:t>25</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事故罐</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color w:val="000000"/>
                <w:sz w:val="24"/>
                <w:szCs w:val="24"/>
              </w:rPr>
            </w:pPr>
            <w:r>
              <w:rPr>
                <w:rFonts w:hint="eastAsia"/>
                <w:color w:val="000000"/>
                <w:sz w:val="24"/>
                <w:szCs w:val="24"/>
              </w:rPr>
              <w:t>1</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长期</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二车间外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rFonts w:hint="eastAsia"/>
                <w:color w:val="000000"/>
                <w:sz w:val="24"/>
                <w:szCs w:val="24"/>
              </w:rPr>
            </w:pPr>
            <w:r>
              <w:rPr>
                <w:rFonts w:hint="eastAsia"/>
                <w:color w:val="000000"/>
                <w:sz w:val="24"/>
                <w:szCs w:val="24"/>
              </w:rPr>
              <w:t>26</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事故罐</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个</w:t>
            </w:r>
          </w:p>
        </w:tc>
        <w:tc>
          <w:tcPr>
            <w:tcW w:w="989"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color w:val="000000"/>
                <w:sz w:val="24"/>
                <w:szCs w:val="24"/>
              </w:rPr>
            </w:pPr>
            <w:r>
              <w:rPr>
                <w:rFonts w:hint="eastAsia"/>
                <w:color w:val="000000"/>
                <w:sz w:val="24"/>
                <w:szCs w:val="24"/>
              </w:rPr>
              <w:t>4</w:t>
            </w:r>
          </w:p>
        </w:tc>
        <w:tc>
          <w:tcPr>
            <w:tcW w:w="995"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color w:val="000000"/>
                <w:sz w:val="24"/>
                <w:szCs w:val="24"/>
              </w:rPr>
              <w:t>长期</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rFonts w:hint="eastAsia" w:ascii="仿宋" w:hAnsi="仿宋"/>
                <w:color w:val="000000"/>
                <w:sz w:val="24"/>
                <w:szCs w:val="24"/>
              </w:rPr>
            </w:pPr>
            <w:r>
              <w:rPr>
                <w:rFonts w:hint="eastAsia" w:ascii="仿宋" w:hAnsi="仿宋"/>
                <w:color w:val="000000"/>
                <w:sz w:val="24"/>
                <w:szCs w:val="24"/>
              </w:rPr>
              <w:t>三车间外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6" w:type="dxa"/>
            <w:gridSpan w:val="10"/>
            <w:tcBorders>
              <w:top w:val="single" w:color="auto" w:sz="4" w:space="0"/>
              <w:left w:val="single" w:color="auto" w:sz="12" w:space="0"/>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通讯器材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对讲机</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部</w:t>
            </w:r>
          </w:p>
        </w:tc>
        <w:tc>
          <w:tcPr>
            <w:tcW w:w="96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3</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通讯</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6" w:type="dxa"/>
            <w:gridSpan w:val="10"/>
            <w:tcBorders>
              <w:top w:val="single" w:color="auto" w:sz="4" w:space="0"/>
              <w:left w:val="single" w:color="auto" w:sz="12" w:space="0"/>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氧浓度测试仪</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套</w:t>
            </w:r>
          </w:p>
        </w:tc>
        <w:tc>
          <w:tcPr>
            <w:tcW w:w="96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2</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监测</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安全环保部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6" w:type="dxa"/>
            <w:gridSpan w:val="10"/>
            <w:tcBorders>
              <w:top w:val="single" w:color="auto" w:sz="4" w:space="0"/>
              <w:left w:val="single" w:color="auto" w:sz="12" w:space="0"/>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警戒器材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火灾报警控制器</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6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预防</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2</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手动报警按钮</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6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15</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预防</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3</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火灾报警装置</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6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30</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预防</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4</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应急指示牌</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6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79</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预防</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厂区、车间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5</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应急灯</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6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35</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预防</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车间、办公楼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6</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应急通话装置</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套</w:t>
            </w:r>
          </w:p>
        </w:tc>
        <w:tc>
          <w:tcPr>
            <w:tcW w:w="96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2</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应急</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车间配电室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7</w:t>
            </w:r>
          </w:p>
        </w:tc>
        <w:tc>
          <w:tcPr>
            <w:tcW w:w="1680"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集合点标志牌</w:t>
            </w:r>
          </w:p>
        </w:tc>
        <w:tc>
          <w:tcPr>
            <w:tcW w:w="708"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个</w:t>
            </w:r>
          </w:p>
        </w:tc>
        <w:tc>
          <w:tcPr>
            <w:tcW w:w="967" w:type="dxa"/>
            <w:gridSpan w:val="2"/>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2</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4"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疏散</w:t>
            </w:r>
          </w:p>
        </w:tc>
        <w:tc>
          <w:tcPr>
            <w:tcW w:w="1887" w:type="dxa"/>
            <w:tcBorders>
              <w:top w:val="single" w:color="auto" w:sz="4" w:space="0"/>
              <w:left w:val="nil"/>
              <w:bottom w:val="single" w:color="auto" w:sz="4"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行政办公楼、西门卫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dxa"/>
            <w:tcBorders>
              <w:top w:val="single" w:color="auto" w:sz="4" w:space="0"/>
              <w:left w:val="single" w:color="auto" w:sz="12" w:space="0"/>
              <w:bottom w:val="single" w:color="auto" w:sz="12" w:space="0"/>
              <w:right w:val="single" w:color="auto" w:sz="4" w:space="0"/>
            </w:tcBorders>
            <w:noWrap w:val="0"/>
            <w:vAlign w:val="center"/>
          </w:tcPr>
          <w:p>
            <w:pPr>
              <w:ind w:firstLine="0" w:firstLineChars="0"/>
              <w:jc w:val="center"/>
              <w:rPr>
                <w:color w:val="000000"/>
                <w:sz w:val="24"/>
                <w:szCs w:val="24"/>
              </w:rPr>
            </w:pPr>
            <w:r>
              <w:rPr>
                <w:color w:val="000000"/>
                <w:sz w:val="24"/>
                <w:szCs w:val="24"/>
              </w:rPr>
              <w:t>8</w:t>
            </w:r>
          </w:p>
        </w:tc>
        <w:tc>
          <w:tcPr>
            <w:tcW w:w="1680" w:type="dxa"/>
            <w:tcBorders>
              <w:top w:val="single" w:color="auto" w:sz="4" w:space="0"/>
              <w:left w:val="nil"/>
              <w:bottom w:val="single" w:color="auto" w:sz="12"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风向标</w:t>
            </w:r>
          </w:p>
        </w:tc>
        <w:tc>
          <w:tcPr>
            <w:tcW w:w="708" w:type="dxa"/>
            <w:tcBorders>
              <w:top w:val="single" w:color="auto" w:sz="4" w:space="0"/>
              <w:left w:val="nil"/>
              <w:bottom w:val="single" w:color="auto" w:sz="12"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1017" w:type="dxa"/>
            <w:gridSpan w:val="2"/>
            <w:tcBorders>
              <w:top w:val="single" w:color="auto" w:sz="4" w:space="0"/>
              <w:left w:val="nil"/>
              <w:bottom w:val="single" w:color="auto" w:sz="12"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把</w:t>
            </w:r>
          </w:p>
        </w:tc>
        <w:tc>
          <w:tcPr>
            <w:tcW w:w="967" w:type="dxa"/>
            <w:gridSpan w:val="2"/>
            <w:tcBorders>
              <w:top w:val="single" w:color="auto" w:sz="4" w:space="0"/>
              <w:left w:val="nil"/>
              <w:bottom w:val="single" w:color="auto" w:sz="12" w:space="0"/>
              <w:right w:val="single" w:color="auto" w:sz="4" w:space="0"/>
            </w:tcBorders>
            <w:noWrap w:val="0"/>
            <w:vAlign w:val="center"/>
          </w:tcPr>
          <w:p>
            <w:pPr>
              <w:ind w:firstLine="0" w:firstLineChars="0"/>
              <w:jc w:val="center"/>
              <w:rPr>
                <w:color w:val="000000"/>
                <w:sz w:val="24"/>
                <w:szCs w:val="24"/>
              </w:rPr>
            </w:pPr>
            <w:r>
              <w:rPr>
                <w:color w:val="000000"/>
                <w:sz w:val="24"/>
                <w:szCs w:val="24"/>
              </w:rPr>
              <w:t>5</w:t>
            </w:r>
          </w:p>
        </w:tc>
        <w:tc>
          <w:tcPr>
            <w:tcW w:w="851" w:type="dxa"/>
            <w:tcBorders>
              <w:top w:val="single" w:color="auto" w:sz="4" w:space="0"/>
              <w:left w:val="nil"/>
              <w:bottom w:val="single" w:color="auto" w:sz="12" w:space="0"/>
              <w:right w:val="single" w:color="auto" w:sz="4" w:space="0"/>
            </w:tcBorders>
            <w:noWrap w:val="0"/>
            <w:vAlign w:val="center"/>
          </w:tcPr>
          <w:p>
            <w:pPr>
              <w:ind w:firstLine="0" w:firstLineChars="0"/>
              <w:jc w:val="center"/>
              <w:rPr>
                <w:color w:val="000000"/>
                <w:sz w:val="24"/>
                <w:szCs w:val="24"/>
              </w:rPr>
            </w:pPr>
            <w:r>
              <w:rPr>
                <w:color w:val="000000"/>
                <w:sz w:val="24"/>
                <w:szCs w:val="24"/>
              </w:rPr>
              <w:t>/</w:t>
            </w:r>
          </w:p>
        </w:tc>
        <w:tc>
          <w:tcPr>
            <w:tcW w:w="851" w:type="dxa"/>
            <w:tcBorders>
              <w:top w:val="single" w:color="auto" w:sz="4" w:space="0"/>
              <w:left w:val="nil"/>
              <w:bottom w:val="single" w:color="auto" w:sz="12" w:space="0"/>
              <w:right w:val="single" w:color="auto" w:sz="4" w:space="0"/>
            </w:tcBorders>
            <w:noWrap w:val="0"/>
            <w:vAlign w:val="center"/>
          </w:tcPr>
          <w:p>
            <w:pPr>
              <w:ind w:firstLine="0" w:firstLineChars="0"/>
              <w:jc w:val="center"/>
              <w:rPr>
                <w:color w:val="000000"/>
                <w:sz w:val="24"/>
                <w:szCs w:val="24"/>
              </w:rPr>
            </w:pPr>
            <w:r>
              <w:rPr>
                <w:rFonts w:hint="eastAsia" w:ascii="仿宋" w:hAnsi="仿宋"/>
                <w:color w:val="000000"/>
                <w:sz w:val="24"/>
                <w:szCs w:val="24"/>
              </w:rPr>
              <w:t>疏散</w:t>
            </w:r>
          </w:p>
        </w:tc>
        <w:tc>
          <w:tcPr>
            <w:tcW w:w="1887" w:type="dxa"/>
            <w:tcBorders>
              <w:top w:val="single" w:color="auto" w:sz="4" w:space="0"/>
              <w:left w:val="nil"/>
              <w:bottom w:val="single" w:color="auto" w:sz="12" w:space="0"/>
              <w:right w:val="single" w:color="auto" w:sz="12" w:space="0"/>
            </w:tcBorders>
            <w:noWrap w:val="0"/>
            <w:vAlign w:val="center"/>
          </w:tcPr>
          <w:p>
            <w:pPr>
              <w:ind w:firstLine="0" w:firstLineChars="0"/>
              <w:jc w:val="center"/>
              <w:rPr>
                <w:color w:val="000000"/>
                <w:sz w:val="24"/>
                <w:szCs w:val="24"/>
              </w:rPr>
            </w:pPr>
            <w:r>
              <w:rPr>
                <w:rFonts w:hint="eastAsia" w:ascii="仿宋" w:hAnsi="仿宋"/>
                <w:color w:val="000000"/>
                <w:sz w:val="24"/>
                <w:szCs w:val="24"/>
              </w:rPr>
              <w:t>各区域</w:t>
            </w:r>
          </w:p>
        </w:tc>
      </w:tr>
    </w:tbl>
    <w:p>
      <w:pPr>
        <w:pStyle w:val="5"/>
        <w:rPr>
          <w:color w:val="000000"/>
        </w:rPr>
      </w:pPr>
      <w:r>
        <w:rPr>
          <w:color w:val="000000"/>
        </w:rPr>
        <w:t>5.2.3管理人</w:t>
      </w:r>
    </w:p>
    <w:p>
      <w:pPr>
        <w:ind w:firstLine="560"/>
        <w:rPr>
          <w:color w:val="000000"/>
        </w:rPr>
      </w:pPr>
      <w:r>
        <w:rPr>
          <w:color w:val="000000"/>
        </w:rPr>
        <w:t>所有装备物资均设置到位并按要求定期进行更换。管理责任人为供应部长：赵宏飞13702165682。</w:t>
      </w:r>
    </w:p>
    <w:p>
      <w:pPr>
        <w:pStyle w:val="5"/>
        <w:rPr>
          <w:color w:val="000000"/>
        </w:rPr>
      </w:pPr>
      <w:r>
        <w:rPr>
          <w:color w:val="000000"/>
        </w:rPr>
        <w:t>5.2.4应急物资外部调用</w:t>
      </w:r>
    </w:p>
    <w:p>
      <w:pPr>
        <w:ind w:firstLine="560"/>
        <w:rPr>
          <w:color w:val="000000"/>
        </w:rPr>
      </w:pPr>
      <w:r>
        <w:rPr>
          <w:color w:val="000000"/>
        </w:rPr>
        <w:t>为更好地保证在紧急状况下应急物资的使用，与外部建立了协作关系，考虑到就近原则，将天津长芦海晶集团有限公司滨海新区第四分公司作为其紧急调用物资联系单位， 应急物资出现不足时由其供给。</w:t>
      </w:r>
    </w:p>
    <w:p>
      <w:pPr>
        <w:pStyle w:val="4"/>
        <w:rPr>
          <w:color w:val="000000"/>
        </w:rPr>
      </w:pPr>
      <w:bookmarkStart w:id="22" w:name="_Toc120195384"/>
      <w:r>
        <w:rPr>
          <w:color w:val="000000"/>
        </w:rPr>
        <w:t>5.3经费及其他保障</w:t>
      </w:r>
      <w:bookmarkEnd w:id="22"/>
    </w:p>
    <w:p>
      <w:pPr>
        <w:pStyle w:val="5"/>
        <w:rPr>
          <w:color w:val="000000"/>
        </w:rPr>
      </w:pPr>
      <w:r>
        <w:rPr>
          <w:color w:val="000000"/>
        </w:rPr>
        <w:t>5.3.1 资金保障</w:t>
      </w:r>
    </w:p>
    <w:p>
      <w:pPr>
        <w:ind w:firstLine="560"/>
        <w:rPr>
          <w:color w:val="000000"/>
        </w:rPr>
      </w:pPr>
      <w:r>
        <w:rPr>
          <w:color w:val="000000"/>
        </w:rPr>
        <w:t>（1）要保证先期的物资和器材储备资金投入，预备必要的补偿资金。</w:t>
      </w:r>
    </w:p>
    <w:p>
      <w:pPr>
        <w:ind w:firstLine="560"/>
        <w:rPr>
          <w:color w:val="000000"/>
        </w:rPr>
      </w:pPr>
      <w:r>
        <w:rPr>
          <w:color w:val="000000"/>
        </w:rPr>
        <w:t>（2）要拟订抢险救灾过程的资金调配计划，保证抢险救灾时有足够的资金可供调配。</w:t>
      </w:r>
    </w:p>
    <w:p>
      <w:pPr>
        <w:ind w:firstLine="560"/>
        <w:rPr>
          <w:color w:val="000000"/>
        </w:rPr>
      </w:pPr>
      <w:r>
        <w:rPr>
          <w:color w:val="000000"/>
        </w:rPr>
        <w:t>（3）会同保险公司等部门做好后期有关资金理赔、补偿工作。</w:t>
      </w:r>
    </w:p>
    <w:p>
      <w:pPr>
        <w:ind w:firstLine="560"/>
        <w:rPr>
          <w:color w:val="000000"/>
        </w:rPr>
      </w:pPr>
      <w:r>
        <w:rPr>
          <w:color w:val="000000"/>
        </w:rPr>
        <w:t>（4）要储备和保证后期足够的职工安置费用。</w:t>
      </w:r>
    </w:p>
    <w:p>
      <w:pPr>
        <w:pStyle w:val="5"/>
        <w:rPr>
          <w:color w:val="000000"/>
        </w:rPr>
      </w:pPr>
      <w:r>
        <w:rPr>
          <w:color w:val="000000"/>
        </w:rPr>
        <w:t>5.3.2 紧急避难场所保障</w:t>
      </w:r>
    </w:p>
    <w:p>
      <w:pPr>
        <w:ind w:firstLine="560"/>
        <w:rPr>
          <w:color w:val="000000"/>
        </w:rPr>
      </w:pPr>
      <w:r>
        <w:rPr>
          <w:color w:val="000000"/>
        </w:rPr>
        <w:t>（1）指挥部要规划出可供受灾职工疏散的路线和不同级别的临 时避难场所，并有明确的标志。</w:t>
      </w:r>
    </w:p>
    <w:p>
      <w:pPr>
        <w:ind w:firstLine="560"/>
        <w:rPr>
          <w:color w:val="000000"/>
        </w:rPr>
      </w:pPr>
      <w:r>
        <w:rPr>
          <w:color w:val="000000"/>
        </w:rPr>
        <w:t>（2）公司应建立健全避难场所的生活必备设施。</w:t>
      </w:r>
    </w:p>
    <w:p>
      <w:pPr>
        <w:pStyle w:val="2"/>
        <w:rPr>
          <w:rFonts w:ascii="Times New Roman" w:hAnsi="Times New Roman" w:eastAsia="仿宋" w:cs="Times New Roman"/>
          <w:b/>
          <w:bCs/>
          <w:kern w:val="2"/>
          <w:sz w:val="28"/>
          <w:szCs w:val="28"/>
        </w:rPr>
      </w:pPr>
      <w:r>
        <w:rPr>
          <w:rFonts w:ascii="Times New Roman" w:hAnsi="Times New Roman" w:eastAsia="仿宋" w:cs="Times New Roman"/>
          <w:b/>
          <w:bCs/>
          <w:kern w:val="2"/>
          <w:sz w:val="28"/>
          <w:szCs w:val="28"/>
        </w:rPr>
        <w:t>5.3.3技术保障</w:t>
      </w:r>
    </w:p>
    <w:p>
      <w:pPr>
        <w:ind w:firstLine="560"/>
        <w:rPr>
          <w:color w:val="000000"/>
        </w:rPr>
      </w:pPr>
      <w:r>
        <w:rPr>
          <w:color w:val="000000"/>
        </w:rPr>
        <w:t>（1）建立并完善各部门、单位多种通信渠道，指挥部各成员要保障通信畅通，应急办公室并负责收集各种通信资料。</w:t>
      </w:r>
    </w:p>
    <w:p>
      <w:pPr>
        <w:ind w:firstLine="560"/>
        <w:rPr>
          <w:color w:val="000000"/>
        </w:rPr>
      </w:pPr>
      <w:r>
        <w:rPr>
          <w:color w:val="000000"/>
        </w:rPr>
        <w:t>（2）应急相关技术资料的建立与完善由应急总指挥牵头，应急办公室负责。聘请专家，建立企业应急处置专家库，加大应急技术的研发力度，不断改进应急技术装备，建立健全企业特大事件应急技术平台。</w:t>
      </w:r>
    </w:p>
    <w:p>
      <w:pPr>
        <w:pStyle w:val="2"/>
        <w:rPr>
          <w:rFonts w:ascii="Times New Roman" w:hAnsi="Times New Roman" w:eastAsia="仿宋" w:cs="Times New Roman"/>
          <w:b/>
          <w:bCs/>
          <w:kern w:val="2"/>
          <w:sz w:val="28"/>
          <w:szCs w:val="28"/>
        </w:rPr>
      </w:pPr>
      <w:r>
        <w:rPr>
          <w:rFonts w:ascii="Times New Roman" w:hAnsi="Times New Roman" w:eastAsia="仿宋" w:cs="Times New Roman"/>
          <w:b/>
          <w:bCs/>
          <w:kern w:val="2"/>
          <w:sz w:val="28"/>
          <w:szCs w:val="28"/>
        </w:rPr>
        <w:t>5.3.4后勤保障</w:t>
      </w:r>
    </w:p>
    <w:p>
      <w:pPr>
        <w:ind w:firstLine="560"/>
        <w:rPr>
          <w:color w:val="000000"/>
        </w:rPr>
      </w:pPr>
      <w:r>
        <w:rPr>
          <w:color w:val="000000"/>
        </w:rPr>
        <w:t>后勤保障组做好现场抢险救援人员的后勤生活服务；为外援人员和伤员家属提供接待服务；及时掌握和报告伤亡家属的情绪动态，积极做好稳定和动员工作。</w:t>
      </w:r>
    </w:p>
    <w:p>
      <w:pPr>
        <w:pStyle w:val="2"/>
        <w:rPr>
          <w:rFonts w:ascii="Times New Roman" w:hAnsi="Times New Roman" w:eastAsia="仿宋" w:cs="Times New Roman"/>
          <w:b/>
          <w:bCs/>
          <w:kern w:val="2"/>
          <w:sz w:val="28"/>
          <w:szCs w:val="28"/>
        </w:rPr>
      </w:pPr>
      <w:r>
        <w:rPr>
          <w:rFonts w:ascii="Times New Roman" w:hAnsi="Times New Roman" w:eastAsia="仿宋" w:cs="Times New Roman"/>
          <w:b/>
          <w:bCs/>
          <w:kern w:val="2"/>
          <w:sz w:val="28"/>
          <w:szCs w:val="28"/>
        </w:rPr>
        <w:t>5.4外部资源保障渠道</w:t>
      </w:r>
    </w:p>
    <w:p>
      <w:pPr>
        <w:ind w:firstLine="560"/>
        <w:rPr>
          <w:color w:val="000000"/>
        </w:rPr>
      </w:pPr>
      <w:r>
        <w:rPr>
          <w:color w:val="000000"/>
        </w:rPr>
        <w:t>通讯联络组负责保障救灾通讯畅通，保证公司与上级政府部门的通讯联系畅通，保证与外部救援机构和通讯联系畅通。相关联系方式见附件。</w:t>
      </w:r>
    </w:p>
    <w:p>
      <w:pPr>
        <w:pStyle w:val="2"/>
        <w:rPr>
          <w:rFonts w:ascii="Times New Roman" w:hAnsi="Times New Roman" w:cs="Times New Roman"/>
        </w:rPr>
        <w:sectPr>
          <w:pgSz w:w="11906" w:h="16838"/>
          <w:pgMar w:top="1440" w:right="1800" w:bottom="1440" w:left="1800" w:header="851" w:footer="992" w:gutter="0"/>
          <w:cols w:space="720" w:num="1"/>
          <w:docGrid w:type="linesAndChars" w:linePitch="312" w:charSpace="0"/>
        </w:sectPr>
      </w:pPr>
    </w:p>
    <w:p>
      <w:pPr>
        <w:pStyle w:val="3"/>
        <w:rPr>
          <w:color w:val="000000"/>
        </w:rPr>
      </w:pPr>
      <w:bookmarkStart w:id="23" w:name="_Toc120195385"/>
      <w:r>
        <w:rPr>
          <w:color w:val="000000"/>
        </w:rPr>
        <w:t>6预警与信息报送</w:t>
      </w:r>
      <w:bookmarkEnd w:id="23"/>
    </w:p>
    <w:p>
      <w:pPr>
        <w:pStyle w:val="4"/>
        <w:rPr>
          <w:color w:val="000000"/>
        </w:rPr>
      </w:pPr>
      <w:bookmarkStart w:id="24" w:name="_Toc120195386"/>
      <w:r>
        <w:rPr>
          <w:color w:val="000000"/>
        </w:rPr>
        <w:t>6.1预警准备措施</w:t>
      </w:r>
      <w:bookmarkEnd w:id="24"/>
    </w:p>
    <w:p>
      <w:pPr>
        <w:ind w:firstLine="560"/>
        <w:rPr>
          <w:color w:val="000000"/>
        </w:rPr>
      </w:pPr>
      <w:r>
        <w:rPr>
          <w:color w:val="000000"/>
        </w:rPr>
        <w:t>结合环境保护的法律、法规及相关规定，针对公司实际情况，公司突发环境事件应急准备措施包括：</w:t>
      </w:r>
    </w:p>
    <w:p>
      <w:pPr>
        <w:ind w:firstLine="560"/>
        <w:rPr>
          <w:color w:val="000000"/>
        </w:rPr>
      </w:pPr>
      <w:r>
        <w:rPr>
          <w:color w:val="000000"/>
        </w:rPr>
        <w:t>（1）结合环境保护的法律、法规及相关规定，严格执行突发环境污染事件应急预案的审批、备案、检查等基本制度。</w:t>
      </w:r>
    </w:p>
    <w:p>
      <w:pPr>
        <w:ind w:firstLine="560"/>
        <w:rPr>
          <w:color w:val="000000"/>
        </w:rPr>
      </w:pPr>
      <w:r>
        <w:rPr>
          <w:color w:val="000000"/>
        </w:rPr>
        <w:t>（2）严格执行“三同时”制度，针对选址、设计、布局、建设、运行、建设项目竣工环保验收，以及服役期满／关闭／搬迁的全过程，明确各阶段突发环境污染事件预防的措施及应急资源和能力评估。</w:t>
      </w:r>
    </w:p>
    <w:p>
      <w:pPr>
        <w:ind w:firstLine="560"/>
        <w:rPr>
          <w:color w:val="000000"/>
        </w:rPr>
      </w:pPr>
      <w:r>
        <w:rPr>
          <w:color w:val="000000"/>
        </w:rPr>
        <w:t>（3）开展环境危险源普查工作，掌握公司环境危险源的数量、种类及分布情况。实现不同类别环境危险源调查、登记及管理，并建立环境危险源数据信息库，内容应包括位置、规模、生产状况、贮运情况、三废排放数据，主要的事件易发环节，以及污染源本身的理化性质、毒性毒理、环境行为、环境标准、监测方法、周边环境及影响对象及危害性质、基本应急处置方法等，为环境污染事件日常防范、应急处理和决策提供基础信息。</w:t>
      </w:r>
    </w:p>
    <w:p>
      <w:pPr>
        <w:ind w:firstLine="560"/>
        <w:rPr>
          <w:color w:val="000000"/>
        </w:rPr>
      </w:pPr>
      <w:r>
        <w:rPr>
          <w:color w:val="000000"/>
        </w:rPr>
        <w:t>（4）在监管上下功夫，以排污许可证为核心，与总量控制、排污申报、环境监测、环境监察等有机结合，加强自身的监管和事件防范。</w:t>
      </w:r>
    </w:p>
    <w:p>
      <w:pPr>
        <w:ind w:firstLine="560"/>
        <w:rPr>
          <w:color w:val="000000"/>
        </w:rPr>
      </w:pPr>
      <w:r>
        <w:rPr>
          <w:color w:val="000000"/>
        </w:rPr>
        <w:t>（5）建立环境污染事件安全预警体系。</w:t>
      </w:r>
    </w:p>
    <w:p>
      <w:pPr>
        <w:ind w:firstLine="560"/>
        <w:rPr>
          <w:color w:val="000000"/>
        </w:rPr>
      </w:pPr>
      <w:r>
        <w:rPr>
          <w:color w:val="000000"/>
        </w:rPr>
        <w:t>（6）进一步加强环境监察的作用，及时排查各类污染事件隐患， 防止污染事件的发生。</w:t>
      </w:r>
    </w:p>
    <w:p>
      <w:pPr>
        <w:ind w:firstLine="560"/>
        <w:rPr>
          <w:rFonts w:hint="eastAsia"/>
          <w:color w:val="000000"/>
        </w:rPr>
      </w:pPr>
      <w:r>
        <w:rPr>
          <w:color w:val="000000"/>
        </w:rPr>
        <w:t>（7）加强公众应急知识的普及和教育，提高公众对环境污染事件的预防、应急能力。</w:t>
      </w:r>
    </w:p>
    <w:p>
      <w:pPr>
        <w:pStyle w:val="4"/>
        <w:rPr>
          <w:rFonts w:hint="eastAsia"/>
          <w:color w:val="000000"/>
          <w:lang w:eastAsia="zh-CN"/>
        </w:rPr>
      </w:pPr>
      <w:bookmarkStart w:id="25" w:name="_Toc120195387"/>
      <w:r>
        <w:rPr>
          <w:color w:val="000000"/>
        </w:rPr>
        <w:t>6.</w:t>
      </w:r>
      <w:r>
        <w:rPr>
          <w:rFonts w:hint="eastAsia"/>
          <w:color w:val="000000"/>
          <w:lang w:eastAsia="zh-CN"/>
        </w:rPr>
        <w:t>2</w:t>
      </w:r>
      <w:r>
        <w:rPr>
          <w:color w:val="000000"/>
        </w:rPr>
        <w:t>预警</w:t>
      </w:r>
      <w:bookmarkEnd w:id="25"/>
    </w:p>
    <w:p>
      <w:pPr>
        <w:pStyle w:val="5"/>
        <w:rPr>
          <w:rFonts w:hint="eastAsia"/>
          <w:color w:val="000000"/>
          <w:lang w:eastAsia="zh-CN"/>
        </w:rPr>
      </w:pPr>
      <w:r>
        <w:rPr>
          <w:color w:val="000000"/>
        </w:rPr>
        <w:t>6.2.1</w:t>
      </w:r>
      <w:r>
        <w:rPr>
          <w:rFonts w:hint="eastAsia"/>
          <w:color w:val="000000"/>
          <w:lang w:eastAsia="zh-CN"/>
        </w:rPr>
        <w:t>监控预警方案</w:t>
      </w:r>
    </w:p>
    <w:p>
      <w:pPr>
        <w:ind w:firstLine="560"/>
        <w:rPr>
          <w:rFonts w:hint="eastAsia"/>
          <w:color w:val="000000"/>
        </w:rPr>
      </w:pPr>
      <w:r>
        <w:rPr>
          <w:rFonts w:hint="eastAsia"/>
          <w:color w:val="000000"/>
        </w:rPr>
        <w:t>公司根据设置的视频监控系统、巡检人员报警情况，根据反馈情况的紧急程度及可能的发展态势或有关部门提供的预警信息等展开预警工作。</w:t>
      </w:r>
    </w:p>
    <w:p>
      <w:pPr>
        <w:ind w:firstLine="560"/>
        <w:rPr>
          <w:rFonts w:hint="eastAsia"/>
          <w:color w:val="000000"/>
        </w:rPr>
      </w:pPr>
      <w:r>
        <w:rPr>
          <w:rFonts w:hint="eastAsia"/>
          <w:color w:val="000000"/>
        </w:rPr>
        <w:t>（1）视频监控系统设置于中控室，公司安排人员24小时值班，且值班人员至少2人，用于监控各类突发环境事件。一旦出现突发环境事件，立即向现场人员和应急指挥部汇报。</w:t>
      </w:r>
    </w:p>
    <w:p>
      <w:pPr>
        <w:ind w:firstLine="560"/>
        <w:rPr>
          <w:rFonts w:hint="eastAsia"/>
          <w:color w:val="000000"/>
        </w:rPr>
      </w:pPr>
      <w:r>
        <w:rPr>
          <w:rFonts w:hint="eastAsia"/>
          <w:color w:val="000000"/>
        </w:rPr>
        <w:t>（2）建立风险单元管理制度，落实监控措施：车间班长除每天监督作业任务的完成情况外还需时刻监督作业员的作业过程及周围工作环境的变化，一旦出现环境事件隐患时及时采取有效措施制止，处理者无能力制止时，上报上一级管理者直至隐患彻底消除。</w:t>
      </w:r>
    </w:p>
    <w:p>
      <w:pPr>
        <w:ind w:firstLine="560"/>
        <w:rPr>
          <w:rFonts w:hint="eastAsia"/>
          <w:color w:val="000000"/>
        </w:rPr>
      </w:pPr>
      <w:r>
        <w:rPr>
          <w:rFonts w:hint="eastAsia"/>
          <w:color w:val="000000"/>
        </w:rPr>
        <w:t>（3）设置安全环境管理人员，定期对危险源及人员的操作情况进行安全检查，发现的隐患列出整改通知单监督整改。</w:t>
      </w:r>
    </w:p>
    <w:p>
      <w:pPr>
        <w:ind w:firstLine="560"/>
        <w:rPr>
          <w:rFonts w:hint="eastAsia"/>
          <w:color w:val="000000"/>
        </w:rPr>
      </w:pPr>
      <w:r>
        <w:rPr>
          <w:rFonts w:hint="eastAsia"/>
          <w:color w:val="000000"/>
        </w:rPr>
        <w:t>（4）在厂区主要路口、车间内、罐区及重点部位设置视频监控摄像头，充分利用公司视频在线监控系统，并设专人对作业现场的安全生产情况进行监控管理。</w:t>
      </w:r>
    </w:p>
    <w:p>
      <w:pPr>
        <w:pStyle w:val="5"/>
        <w:rPr>
          <w:rFonts w:hint="eastAsia"/>
          <w:color w:val="000000"/>
          <w:lang w:eastAsia="zh-CN"/>
        </w:rPr>
      </w:pPr>
      <w:r>
        <w:rPr>
          <w:color w:val="000000"/>
        </w:rPr>
        <w:t>6.2.</w:t>
      </w:r>
      <w:r>
        <w:rPr>
          <w:rFonts w:hint="eastAsia"/>
          <w:color w:val="000000"/>
          <w:lang w:eastAsia="zh-CN"/>
        </w:rPr>
        <w:t>2预警</w:t>
      </w:r>
      <w:r>
        <w:rPr>
          <w:color w:val="000000"/>
        </w:rPr>
        <w:t>途径及分析研判</w:t>
      </w:r>
      <w:r>
        <w:rPr>
          <w:rFonts w:hint="eastAsia"/>
          <w:color w:val="000000"/>
          <w:lang w:eastAsia="zh-CN"/>
        </w:rPr>
        <w:t>、反馈</w:t>
      </w:r>
    </w:p>
    <w:p>
      <w:pPr>
        <w:ind w:firstLine="560"/>
        <w:rPr>
          <w:rFonts w:hint="eastAsia"/>
          <w:color w:val="000000"/>
        </w:rPr>
      </w:pPr>
      <w:r>
        <w:rPr>
          <w:rFonts w:hint="eastAsia"/>
          <w:color w:val="000000"/>
        </w:rPr>
        <w:t>（1）监控信息的获得途径</w:t>
      </w:r>
    </w:p>
    <w:p>
      <w:pPr>
        <w:ind w:firstLine="560"/>
        <w:rPr>
          <w:rFonts w:hint="eastAsia"/>
          <w:color w:val="000000"/>
        </w:rPr>
      </w:pPr>
      <w:r>
        <w:rPr>
          <w:rFonts w:hint="eastAsia"/>
          <w:color w:val="000000"/>
        </w:rPr>
        <w:t>公司中控室承担夜间及节假日应急值班，保证24小时接警的畅通，遇有环境事故发生，及时组织处理并通知有关方面人员。事故发生时的联络路径和方式张贴在应急指挥部（应急指挥部即总经理办公室)、应急办公室（应急办公室即安环部办公室）和警卫室，确保能够及时地报告事故发生情况，若号码更换，相应的环节也应立即更新。各部门负责人及管理人员保证通讯的畅通。</w:t>
      </w:r>
    </w:p>
    <w:p>
      <w:pPr>
        <w:ind w:firstLine="560"/>
        <w:rPr>
          <w:rFonts w:hint="eastAsia"/>
          <w:color w:val="000000"/>
        </w:rPr>
      </w:pPr>
      <w:r>
        <w:rPr>
          <w:rFonts w:hint="eastAsia"/>
          <w:color w:val="000000"/>
        </w:rPr>
        <w:t>员工应掌握以下应急救援电话：</w:t>
      </w:r>
    </w:p>
    <w:p>
      <w:pPr>
        <w:ind w:firstLine="560"/>
        <w:rPr>
          <w:rFonts w:hint="eastAsia"/>
          <w:color w:val="000000"/>
        </w:rPr>
      </w:pPr>
      <w:r>
        <w:rPr>
          <w:rFonts w:hint="eastAsia"/>
          <w:color w:val="000000"/>
        </w:rPr>
        <w:t>总指挥电话：</w:t>
      </w:r>
      <w:r>
        <w:rPr>
          <w:color w:val="000000"/>
        </w:rPr>
        <w:t>宋明峰13820225588</w:t>
      </w:r>
    </w:p>
    <w:p>
      <w:pPr>
        <w:ind w:firstLine="560"/>
        <w:rPr>
          <w:rFonts w:hint="eastAsia"/>
          <w:color w:val="000000"/>
        </w:rPr>
      </w:pPr>
      <w:r>
        <w:rPr>
          <w:rFonts w:hint="eastAsia"/>
          <w:color w:val="000000"/>
        </w:rPr>
        <w:t>副总指挥电话：</w:t>
      </w:r>
      <w:r>
        <w:rPr>
          <w:color w:val="000000"/>
        </w:rPr>
        <w:t>李洪军13920075944</w:t>
      </w:r>
    </w:p>
    <w:p>
      <w:pPr>
        <w:ind w:firstLine="560"/>
        <w:rPr>
          <w:rFonts w:hint="eastAsia"/>
          <w:color w:val="000000"/>
        </w:rPr>
      </w:pPr>
      <w:r>
        <w:rPr>
          <w:rFonts w:hint="eastAsia"/>
          <w:color w:val="000000"/>
        </w:rPr>
        <w:t>24小时值班电话：</w:t>
      </w:r>
      <w:r>
        <w:rPr>
          <w:color w:val="000000"/>
        </w:rPr>
        <w:t>25290061</w:t>
      </w:r>
      <w:r>
        <w:rPr>
          <w:rFonts w:hint="eastAsia"/>
          <w:color w:val="000000"/>
        </w:rPr>
        <w:t>。</w:t>
      </w:r>
    </w:p>
    <w:p>
      <w:pPr>
        <w:ind w:firstLine="560"/>
        <w:rPr>
          <w:color w:val="000000"/>
        </w:rPr>
      </w:pPr>
      <w:r>
        <w:rPr>
          <w:rFonts w:hint="eastAsia"/>
          <w:color w:val="000000"/>
        </w:rPr>
        <w:t>（2）监控信息的分析研判与反馈</w:t>
      </w:r>
    </w:p>
    <w:p>
      <w:pPr>
        <w:ind w:firstLine="560"/>
        <w:rPr>
          <w:rFonts w:hint="eastAsia"/>
          <w:color w:val="000000"/>
        </w:rPr>
      </w:pPr>
      <w:r>
        <w:rPr>
          <w:color w:val="000000"/>
        </w:rPr>
        <w:t>应急</w:t>
      </w:r>
      <w:r>
        <w:rPr>
          <w:rFonts w:hint="eastAsia"/>
          <w:color w:val="000000"/>
        </w:rPr>
        <w:t>办公室</w:t>
      </w:r>
      <w:r>
        <w:rPr>
          <w:color w:val="000000"/>
        </w:rPr>
        <w:t>获得由中控室上报的监控信息</w:t>
      </w:r>
      <w:r>
        <w:rPr>
          <w:rFonts w:hint="eastAsia"/>
          <w:color w:val="000000"/>
        </w:rPr>
        <w:t>、</w:t>
      </w:r>
      <w:r>
        <w:rPr>
          <w:color w:val="000000"/>
        </w:rPr>
        <w:t>现场当班人员上报的信息或巡视人员的上报信息</w:t>
      </w:r>
      <w:r>
        <w:rPr>
          <w:rFonts w:hint="eastAsia"/>
          <w:color w:val="000000"/>
        </w:rPr>
        <w:t>，</w:t>
      </w:r>
      <w:r>
        <w:rPr>
          <w:color w:val="000000"/>
        </w:rPr>
        <w:t>对照公司突发环境事件应急预案的各类事故情景</w:t>
      </w:r>
      <w:r>
        <w:rPr>
          <w:rFonts w:hint="eastAsia"/>
          <w:color w:val="000000"/>
        </w:rPr>
        <w:t>，经</w:t>
      </w:r>
      <w:r>
        <w:rPr>
          <w:color w:val="000000"/>
        </w:rPr>
        <w:t>初步判断后报告应急指挥部</w:t>
      </w:r>
      <w:r>
        <w:rPr>
          <w:rFonts w:hint="eastAsia"/>
          <w:color w:val="000000"/>
        </w:rPr>
        <w:t>，</w:t>
      </w:r>
      <w:r>
        <w:rPr>
          <w:color w:val="000000"/>
        </w:rPr>
        <w:t>预警信息由应急指挥部反馈给各岗位人员</w:t>
      </w:r>
      <w:r>
        <w:rPr>
          <w:rFonts w:hint="eastAsia"/>
          <w:color w:val="000000"/>
        </w:rPr>
        <w:t>。</w:t>
      </w:r>
    </w:p>
    <w:p>
      <w:pPr>
        <w:ind w:firstLine="560"/>
        <w:rPr>
          <w:color w:val="000000"/>
        </w:rPr>
      </w:pPr>
      <w:r>
        <w:rPr>
          <w:color w:val="000000"/>
        </w:rPr>
        <w:t>应急救援指挥部的判断内容包含但不限于：</w:t>
      </w:r>
    </w:p>
    <w:p>
      <w:pPr>
        <w:ind w:firstLine="560"/>
        <w:rPr>
          <w:color w:val="000000"/>
        </w:rPr>
      </w:pPr>
      <w:r>
        <w:rPr>
          <w:color w:val="000000"/>
        </w:rPr>
        <w:t xml:space="preserve">a.造成异常的根本原因是什么？ </w:t>
      </w:r>
    </w:p>
    <w:p>
      <w:pPr>
        <w:ind w:firstLine="560"/>
        <w:rPr>
          <w:color w:val="000000"/>
        </w:rPr>
      </w:pPr>
      <w:r>
        <w:rPr>
          <w:color w:val="000000"/>
        </w:rPr>
        <w:t xml:space="preserve">b.事态是否会扩大？如何控制事态发展？ </w:t>
      </w:r>
    </w:p>
    <w:p>
      <w:pPr>
        <w:ind w:firstLine="560"/>
        <w:rPr>
          <w:color w:val="000000"/>
        </w:rPr>
      </w:pPr>
      <w:r>
        <w:rPr>
          <w:color w:val="000000"/>
        </w:rPr>
        <w:t>c.对车间内工作人员和应急反应人员是否有影响？</w:t>
      </w:r>
    </w:p>
    <w:p>
      <w:pPr>
        <w:ind w:firstLine="560"/>
        <w:rPr>
          <w:color w:val="000000"/>
        </w:rPr>
      </w:pPr>
      <w:r>
        <w:rPr>
          <w:color w:val="000000"/>
        </w:rPr>
        <w:t xml:space="preserve">d.是否需要其它车间停止生产？ </w:t>
      </w:r>
    </w:p>
    <w:p>
      <w:pPr>
        <w:ind w:firstLine="560"/>
        <w:rPr>
          <w:color w:val="000000"/>
        </w:rPr>
      </w:pPr>
      <w:r>
        <w:rPr>
          <w:color w:val="000000"/>
        </w:rPr>
        <w:t xml:space="preserve">e.是否需要申请外部援助？ </w:t>
      </w:r>
    </w:p>
    <w:p>
      <w:pPr>
        <w:ind w:firstLine="560"/>
        <w:rPr>
          <w:color w:val="000000"/>
        </w:rPr>
      </w:pPr>
      <w:r>
        <w:rPr>
          <w:color w:val="000000"/>
        </w:rPr>
        <w:t>f.是否需要进行员工疏散?</w:t>
      </w:r>
    </w:p>
    <w:p>
      <w:pPr>
        <w:ind w:firstLine="560"/>
        <w:rPr>
          <w:color w:val="000000"/>
        </w:rPr>
      </w:pPr>
      <w:r>
        <w:rPr>
          <w:color w:val="000000"/>
        </w:rPr>
        <w:t>g.影响是否超出厂界，即是否需要外援，是否需要通知周边企业？</w:t>
      </w:r>
    </w:p>
    <w:p>
      <w:pPr>
        <w:ind w:firstLine="560"/>
        <w:rPr>
          <w:rFonts w:hint="eastAsia"/>
          <w:color w:val="000000"/>
        </w:rPr>
      </w:pPr>
      <w:r>
        <w:rPr>
          <w:color w:val="000000"/>
        </w:rPr>
        <w:t>h.是否需要通报当地政府环境管理部门？当公司应急指挥部认为事故较大，有可能超出本公司处置能力时，通讯联络组要及时向政府部门报告。</w:t>
      </w:r>
    </w:p>
    <w:p>
      <w:pPr>
        <w:pStyle w:val="5"/>
        <w:rPr>
          <w:color w:val="000000"/>
        </w:rPr>
      </w:pPr>
      <w:r>
        <w:rPr>
          <w:color w:val="000000"/>
        </w:rPr>
        <w:t>6.2.</w:t>
      </w:r>
      <w:r>
        <w:rPr>
          <w:rFonts w:hint="eastAsia"/>
          <w:color w:val="000000"/>
          <w:lang w:eastAsia="zh-CN"/>
        </w:rPr>
        <w:t>3</w:t>
      </w:r>
      <w:r>
        <w:rPr>
          <w:color w:val="000000"/>
        </w:rPr>
        <w:t>预警</w:t>
      </w:r>
      <w:r>
        <w:rPr>
          <w:rFonts w:hint="eastAsia"/>
          <w:color w:val="000000"/>
          <w:lang w:eastAsia="zh-CN"/>
        </w:rPr>
        <w:t>条件及等级</w:t>
      </w:r>
    </w:p>
    <w:p>
      <w:pPr>
        <w:ind w:firstLine="560"/>
        <w:rPr>
          <w:rFonts w:hint="eastAsia"/>
          <w:color w:val="000000"/>
        </w:rPr>
      </w:pPr>
      <w:r>
        <w:rPr>
          <w:rFonts w:hint="eastAsia"/>
          <w:color w:val="000000"/>
        </w:rPr>
        <w:t>（1）预警条件</w:t>
      </w:r>
    </w:p>
    <w:p>
      <w:pPr>
        <w:ind w:firstLine="560"/>
        <w:rPr>
          <w:rFonts w:hint="eastAsia"/>
          <w:color w:val="000000"/>
        </w:rPr>
      </w:pPr>
      <w:r>
        <w:rPr>
          <w:rFonts w:hint="eastAsia"/>
          <w:color w:val="000000"/>
        </w:rPr>
        <w:t>当公司设置的视频监控系统发现事故、火灾报警系统及巡视人员报警时，发出预警。</w:t>
      </w:r>
    </w:p>
    <w:p>
      <w:pPr>
        <w:ind w:firstLine="560"/>
        <w:rPr>
          <w:rFonts w:hint="eastAsia"/>
          <w:color w:val="000000"/>
        </w:rPr>
      </w:pPr>
      <w:r>
        <w:rPr>
          <w:rFonts w:hint="eastAsia"/>
          <w:color w:val="000000"/>
        </w:rPr>
        <w:t>（2）预警等级</w:t>
      </w:r>
    </w:p>
    <w:p>
      <w:pPr>
        <w:ind w:firstLine="560"/>
        <w:rPr>
          <w:rFonts w:hint="eastAsia"/>
          <w:color w:val="000000"/>
        </w:rPr>
      </w:pPr>
      <w:r>
        <w:rPr>
          <w:color w:val="000000"/>
        </w:rPr>
        <w:t>公司按照事件以及可能事故的危害程度及后果进行预警</w:t>
      </w:r>
      <w:r>
        <w:rPr>
          <w:rFonts w:hint="eastAsia"/>
          <w:color w:val="000000"/>
        </w:rPr>
        <w:t>，</w:t>
      </w:r>
      <w:r>
        <w:rPr>
          <w:color w:val="000000"/>
        </w:rPr>
        <w:t>公司实行黄</w:t>
      </w:r>
      <w:r>
        <w:rPr>
          <w:rFonts w:hint="eastAsia"/>
          <w:color w:val="000000"/>
        </w:rPr>
        <w:t>、</w:t>
      </w:r>
      <w:r>
        <w:rPr>
          <w:color w:val="000000"/>
        </w:rPr>
        <w:t>橙</w:t>
      </w:r>
      <w:r>
        <w:rPr>
          <w:rFonts w:hint="eastAsia"/>
          <w:color w:val="000000"/>
        </w:rPr>
        <w:t>、</w:t>
      </w:r>
      <w:r>
        <w:rPr>
          <w:color w:val="000000"/>
        </w:rPr>
        <w:t>红三级预警</w:t>
      </w:r>
      <w:r>
        <w:rPr>
          <w:rFonts w:hint="eastAsia"/>
          <w:color w:val="000000"/>
        </w:rPr>
        <w:t>，</w:t>
      </w:r>
      <w:r>
        <w:rPr>
          <w:color w:val="000000"/>
        </w:rPr>
        <w:t>分别对应三级</w:t>
      </w:r>
      <w:r>
        <w:rPr>
          <w:rFonts w:hint="eastAsia"/>
          <w:color w:val="000000"/>
        </w:rPr>
        <w:t>、</w:t>
      </w:r>
      <w:r>
        <w:rPr>
          <w:color w:val="000000"/>
        </w:rPr>
        <w:t>二级</w:t>
      </w:r>
      <w:r>
        <w:rPr>
          <w:rFonts w:hint="eastAsia"/>
          <w:color w:val="000000"/>
        </w:rPr>
        <w:t>、</w:t>
      </w:r>
      <w:r>
        <w:rPr>
          <w:color w:val="000000"/>
        </w:rPr>
        <w:t>一级响应</w:t>
      </w:r>
      <w:r>
        <w:rPr>
          <w:rFonts w:hint="eastAsia"/>
          <w:color w:val="000000"/>
        </w:rPr>
        <w:t>。</w:t>
      </w:r>
    </w:p>
    <w:p>
      <w:pPr>
        <w:ind w:firstLine="560"/>
        <w:rPr>
          <w:color w:val="000000"/>
        </w:rPr>
      </w:pPr>
      <w:r>
        <w:rPr>
          <w:color w:val="000000"/>
        </w:rPr>
        <w:t>红色预警情况：</w:t>
      </w:r>
      <w:r>
        <w:rPr>
          <w:rFonts w:hint="eastAsia"/>
          <w:color w:val="000000"/>
        </w:rPr>
        <w:t>①</w:t>
      </w:r>
      <w:r>
        <w:rPr>
          <w:color w:val="000000"/>
        </w:rPr>
        <w:t>制药二车间内的电热油炉中热煤油泄漏后遇明火引发火灾，火势较大，公司应急指挥部无法对火势进行有效控制，</w:t>
      </w:r>
      <w:r>
        <w:rPr>
          <w:rFonts w:hint="eastAsia"/>
          <w:color w:val="000000"/>
        </w:rPr>
        <w:t>需要由外部的消防、医疗的应急救援中心来支持</w:t>
      </w:r>
      <w:r>
        <w:rPr>
          <w:color w:val="000000"/>
        </w:rPr>
        <w:t>。</w:t>
      </w:r>
    </w:p>
    <w:p>
      <w:pPr>
        <w:ind w:firstLine="560"/>
        <w:rPr>
          <w:color w:val="000000"/>
        </w:rPr>
      </w:pPr>
      <w:r>
        <w:rPr>
          <w:rFonts w:hint="eastAsia"/>
          <w:color w:val="000000"/>
        </w:rPr>
        <w:t>②</w:t>
      </w:r>
      <w:r>
        <w:rPr>
          <w:color w:val="000000"/>
        </w:rPr>
        <w:t>下雨时，室外运输过程发生危险化学品等物料大量泄漏，厂区雨水总排口处雨水截止阀为开启状态，泄漏物料有可能经雨水总排口流出厂区</w:t>
      </w:r>
      <w:r>
        <w:rPr>
          <w:rFonts w:hint="eastAsia"/>
          <w:color w:val="000000"/>
        </w:rPr>
        <w:t>，</w:t>
      </w:r>
      <w:r>
        <w:rPr>
          <w:color w:val="000000"/>
        </w:rPr>
        <w:t>需要由外部的雨水泵站</w:t>
      </w:r>
      <w:r>
        <w:rPr>
          <w:rFonts w:hint="eastAsia"/>
          <w:color w:val="000000"/>
        </w:rPr>
        <w:t>、</w:t>
      </w:r>
      <w:r>
        <w:rPr>
          <w:color w:val="000000"/>
        </w:rPr>
        <w:t>经开区生态环境局</w:t>
      </w:r>
      <w:r>
        <w:rPr>
          <w:rFonts w:hint="eastAsia"/>
          <w:color w:val="000000"/>
        </w:rPr>
        <w:t>、</w:t>
      </w:r>
      <w:r>
        <w:rPr>
          <w:color w:val="000000"/>
        </w:rPr>
        <w:t>政府部门及其有关部门来支援</w:t>
      </w:r>
      <w:r>
        <w:rPr>
          <w:rFonts w:hint="eastAsia"/>
          <w:color w:val="000000"/>
        </w:rPr>
        <w:t>。</w:t>
      </w:r>
    </w:p>
    <w:p>
      <w:pPr>
        <w:ind w:firstLine="560"/>
        <w:rPr>
          <w:rFonts w:hint="eastAsia"/>
          <w:color w:val="000000"/>
        </w:rPr>
      </w:pPr>
      <w:r>
        <w:rPr>
          <w:color w:val="000000"/>
        </w:rPr>
        <w:t>橙色预警情况：</w:t>
      </w:r>
      <w:r>
        <w:rPr>
          <w:rFonts w:hint="eastAsia"/>
          <w:color w:val="000000"/>
        </w:rPr>
        <w:t>①</w:t>
      </w:r>
      <w:r>
        <w:rPr>
          <w:color w:val="000000"/>
        </w:rPr>
        <w:t>制药二车间内的电热油炉中热煤油泄漏后遇明火引发火灾，</w:t>
      </w:r>
      <w:r>
        <w:rPr>
          <w:rFonts w:hint="eastAsia"/>
          <w:color w:val="000000"/>
        </w:rPr>
        <w:t>火势</w:t>
      </w:r>
      <w:r>
        <w:rPr>
          <w:color w:val="000000"/>
        </w:rPr>
        <w:t>需启用消防栓灭火，消防废水可控制在</w:t>
      </w:r>
      <w:r>
        <w:rPr>
          <w:rFonts w:hint="eastAsia"/>
          <w:color w:val="000000"/>
        </w:rPr>
        <w:t>车间</w:t>
      </w:r>
      <w:r>
        <w:rPr>
          <w:color w:val="000000"/>
        </w:rPr>
        <w:t>内。</w:t>
      </w:r>
    </w:p>
    <w:p>
      <w:pPr>
        <w:ind w:firstLine="560"/>
        <w:rPr>
          <w:rFonts w:hint="eastAsia"/>
          <w:color w:val="000000"/>
        </w:rPr>
      </w:pPr>
      <w:r>
        <w:rPr>
          <w:rFonts w:hint="eastAsia"/>
          <w:color w:val="000000"/>
        </w:rPr>
        <w:t>②烧碱罐区烧碱储罐发生泄漏，或</w:t>
      </w:r>
      <w:r>
        <w:rPr>
          <w:color w:val="000000"/>
        </w:rPr>
        <w:t>烧碱接驳过程发生泄漏</w:t>
      </w:r>
      <w:r>
        <w:rPr>
          <w:rFonts w:hint="eastAsia"/>
          <w:color w:val="000000"/>
        </w:rPr>
        <w:t>，若</w:t>
      </w:r>
      <w:r>
        <w:rPr>
          <w:color w:val="000000"/>
        </w:rPr>
        <w:t>未能及时停泵关闸</w:t>
      </w:r>
      <w:r>
        <w:rPr>
          <w:rFonts w:hint="eastAsia"/>
          <w:color w:val="000000"/>
        </w:rPr>
        <w:t>，</w:t>
      </w:r>
      <w:r>
        <w:rPr>
          <w:color w:val="000000"/>
        </w:rPr>
        <w:t>导致烧碱液体大量泄漏</w:t>
      </w:r>
      <w:r>
        <w:rPr>
          <w:rFonts w:hint="eastAsia"/>
          <w:color w:val="000000"/>
        </w:rPr>
        <w:t>，</w:t>
      </w:r>
      <w:r>
        <w:rPr>
          <w:color w:val="000000"/>
        </w:rPr>
        <w:t>在围堰内形成液池</w:t>
      </w:r>
      <w:r>
        <w:rPr>
          <w:rFonts w:hint="eastAsia"/>
          <w:color w:val="000000"/>
        </w:rPr>
        <w:t>，泄漏物料控制在厂区内。</w:t>
      </w:r>
    </w:p>
    <w:p>
      <w:pPr>
        <w:ind w:firstLine="560"/>
        <w:rPr>
          <w:rFonts w:hint="eastAsia"/>
          <w:color w:val="000000"/>
        </w:rPr>
      </w:pPr>
      <w:r>
        <w:rPr>
          <w:rFonts w:hint="eastAsia"/>
          <w:color w:val="000000"/>
        </w:rPr>
        <w:t>③</w:t>
      </w:r>
      <w:r>
        <w:rPr>
          <w:color w:val="000000"/>
        </w:rPr>
        <w:t>室外装置区</w:t>
      </w:r>
      <w:r>
        <w:rPr>
          <w:rFonts w:hint="eastAsia"/>
          <w:color w:val="000000"/>
        </w:rPr>
        <w:t>（碳化区）</w:t>
      </w:r>
      <w:r>
        <w:rPr>
          <w:color w:val="000000"/>
        </w:rPr>
        <w:t>发生泄漏</w:t>
      </w:r>
      <w:r>
        <w:rPr>
          <w:rFonts w:hint="eastAsia"/>
          <w:color w:val="000000"/>
        </w:rPr>
        <w:t>，地面设置导流沟，且2处截止阀均关闭，</w:t>
      </w:r>
      <w:r>
        <w:rPr>
          <w:color w:val="000000"/>
        </w:rPr>
        <w:t>发生泄漏时，</w:t>
      </w:r>
      <w:r>
        <w:rPr>
          <w:rFonts w:hint="eastAsia"/>
          <w:color w:val="000000"/>
        </w:rPr>
        <w:t>物料</w:t>
      </w:r>
      <w:r>
        <w:rPr>
          <w:color w:val="000000"/>
        </w:rPr>
        <w:t>泄漏在环形导流沟内</w:t>
      </w:r>
      <w:r>
        <w:rPr>
          <w:rFonts w:hint="eastAsia"/>
          <w:color w:val="000000"/>
        </w:rPr>
        <w:t>。</w:t>
      </w:r>
    </w:p>
    <w:p>
      <w:pPr>
        <w:ind w:firstLine="560"/>
        <w:rPr>
          <w:color w:val="000000"/>
        </w:rPr>
      </w:pPr>
      <w:r>
        <w:rPr>
          <w:rFonts w:hint="eastAsia"/>
          <w:color w:val="000000"/>
        </w:rPr>
        <w:t>④</w:t>
      </w:r>
      <w:r>
        <w:rPr>
          <w:color w:val="000000"/>
        </w:rPr>
        <w:t>制药一车间内、制药二车间外的盐酸储槽在</w:t>
      </w:r>
      <w:r>
        <w:rPr>
          <w:rFonts w:hint="eastAsia"/>
          <w:color w:val="000000"/>
        </w:rPr>
        <w:t>接驳</w:t>
      </w:r>
      <w:r>
        <w:rPr>
          <w:color w:val="000000"/>
        </w:rPr>
        <w:t>过程发生泄漏，若未能及时停泵关闸</w:t>
      </w:r>
      <w:r>
        <w:rPr>
          <w:rFonts w:hint="eastAsia"/>
          <w:color w:val="000000"/>
        </w:rPr>
        <w:t>，</w:t>
      </w:r>
      <w:r>
        <w:rPr>
          <w:color w:val="000000"/>
        </w:rPr>
        <w:t>导致盐酸大量泄漏，采用消防沙袋进行围堵</w:t>
      </w:r>
      <w:r>
        <w:rPr>
          <w:rFonts w:hint="eastAsia"/>
          <w:color w:val="000000"/>
        </w:rPr>
        <w:t>，</w:t>
      </w:r>
      <w:r>
        <w:rPr>
          <w:color w:val="000000"/>
        </w:rPr>
        <w:t>且周边封堵雨水口，泄漏物料控制在厂区内。</w:t>
      </w:r>
    </w:p>
    <w:p>
      <w:pPr>
        <w:ind w:firstLine="560"/>
        <w:rPr>
          <w:rFonts w:hint="eastAsia"/>
          <w:color w:val="000000"/>
        </w:rPr>
      </w:pPr>
      <w:r>
        <w:rPr>
          <w:rFonts w:hint="eastAsia"/>
          <w:color w:val="000000"/>
        </w:rPr>
        <w:t>⑤</w:t>
      </w:r>
      <w:r>
        <w:rPr>
          <w:color w:val="000000"/>
        </w:rPr>
        <w:t>制药二车间内的电热油炉中热煤油</w:t>
      </w:r>
      <w:r>
        <w:rPr>
          <w:rFonts w:hint="eastAsia"/>
          <w:color w:val="000000"/>
        </w:rPr>
        <w:t>发生</w:t>
      </w:r>
      <w:r>
        <w:rPr>
          <w:color w:val="000000"/>
        </w:rPr>
        <w:t>大量泄漏，</w:t>
      </w:r>
      <w:r>
        <w:rPr>
          <w:rFonts w:hint="eastAsia"/>
          <w:color w:val="000000"/>
        </w:rPr>
        <w:t>采用消防沙袋进行围堵，且及时采用沙袋封堵地面导流槽</w:t>
      </w:r>
      <w:r>
        <w:rPr>
          <w:color w:val="000000"/>
        </w:rPr>
        <w:t>，</w:t>
      </w:r>
      <w:r>
        <w:rPr>
          <w:rFonts w:hint="eastAsia"/>
          <w:color w:val="000000"/>
        </w:rPr>
        <w:t>泄漏</w:t>
      </w:r>
      <w:r>
        <w:rPr>
          <w:color w:val="000000"/>
        </w:rPr>
        <w:t>物料控制在车间内。</w:t>
      </w:r>
    </w:p>
    <w:p>
      <w:pPr>
        <w:ind w:firstLine="560"/>
        <w:rPr>
          <w:rFonts w:hint="eastAsia"/>
          <w:color w:val="000000"/>
        </w:rPr>
      </w:pPr>
      <w:r>
        <w:rPr>
          <w:rFonts w:hint="eastAsia"/>
          <w:color w:val="000000"/>
        </w:rPr>
        <w:t>⑥</w:t>
      </w:r>
      <w:r>
        <w:rPr>
          <w:color w:val="000000"/>
        </w:rPr>
        <w:t>室外运输过程危险化学品发生泄漏，采用消防沙袋进行围堵泄漏物料</w:t>
      </w:r>
      <w:r>
        <w:rPr>
          <w:rFonts w:hint="eastAsia"/>
          <w:color w:val="000000"/>
        </w:rPr>
        <w:t>，</w:t>
      </w:r>
      <w:r>
        <w:rPr>
          <w:color w:val="000000"/>
        </w:rPr>
        <w:t>且封堵周边雨水口</w:t>
      </w:r>
      <w:r>
        <w:rPr>
          <w:rFonts w:hint="eastAsia"/>
          <w:color w:val="000000"/>
        </w:rPr>
        <w:t>，</w:t>
      </w:r>
      <w:r>
        <w:rPr>
          <w:color w:val="000000"/>
        </w:rPr>
        <w:t>厂区雨水总排口处雨水截止阀关闭，不会超出企业</w:t>
      </w:r>
      <w:r>
        <w:rPr>
          <w:rFonts w:hint="eastAsia"/>
          <w:color w:val="000000"/>
        </w:rPr>
        <w:t>厂</w:t>
      </w:r>
      <w:r>
        <w:rPr>
          <w:color w:val="000000"/>
        </w:rPr>
        <w:t>界。</w:t>
      </w:r>
    </w:p>
    <w:p>
      <w:pPr>
        <w:ind w:firstLine="560"/>
        <w:rPr>
          <w:rFonts w:hint="eastAsia"/>
          <w:color w:val="000000"/>
        </w:rPr>
      </w:pPr>
      <w:r>
        <w:rPr>
          <w:color w:val="000000"/>
        </w:rPr>
        <w:t>黄色预警情况：</w:t>
      </w:r>
      <w:r>
        <w:rPr>
          <w:rFonts w:hint="eastAsia"/>
          <w:color w:val="000000"/>
        </w:rPr>
        <w:t>①</w:t>
      </w:r>
      <w:r>
        <w:rPr>
          <w:color w:val="000000"/>
        </w:rPr>
        <w:t>车间范围内可控制的小事故，包括厂区发生的初期火灾、用灭火器可以控制的小型火灾</w:t>
      </w:r>
      <w:r>
        <w:rPr>
          <w:rFonts w:hint="eastAsia"/>
          <w:color w:val="000000"/>
        </w:rPr>
        <w:t>，</w:t>
      </w:r>
      <w:r>
        <w:rPr>
          <w:color w:val="000000"/>
        </w:rPr>
        <w:t>如制药二车间内的电热油炉中热煤油泄漏后遇明火引发火灾，初期火灾时</w:t>
      </w:r>
      <w:r>
        <w:rPr>
          <w:rFonts w:hint="eastAsia"/>
          <w:color w:val="000000"/>
        </w:rPr>
        <w:t>，火势</w:t>
      </w:r>
      <w:r>
        <w:rPr>
          <w:color w:val="000000"/>
        </w:rPr>
        <w:t>较小，现场人员可采用干粉灭火器进行</w:t>
      </w:r>
      <w:r>
        <w:rPr>
          <w:rFonts w:hint="eastAsia"/>
          <w:color w:val="000000"/>
        </w:rPr>
        <w:t>扑救，灭火</w:t>
      </w:r>
      <w:r>
        <w:rPr>
          <w:color w:val="000000"/>
        </w:rPr>
        <w:t>结束后</w:t>
      </w:r>
      <w:r>
        <w:rPr>
          <w:rFonts w:hint="eastAsia"/>
          <w:color w:val="000000"/>
        </w:rPr>
        <w:t>，</w:t>
      </w:r>
      <w:r>
        <w:rPr>
          <w:color w:val="000000"/>
        </w:rPr>
        <w:t>用铁锹收集废干粉等废物</w:t>
      </w:r>
      <w:r>
        <w:rPr>
          <w:rFonts w:hint="eastAsia"/>
          <w:color w:val="000000"/>
        </w:rPr>
        <w:t>，</w:t>
      </w:r>
      <w:r>
        <w:rPr>
          <w:color w:val="000000"/>
        </w:rPr>
        <w:t>集中收集至应急桶中</w:t>
      </w:r>
      <w:r>
        <w:rPr>
          <w:rFonts w:hint="eastAsia"/>
          <w:color w:val="000000"/>
        </w:rPr>
        <w:t>，</w:t>
      </w:r>
      <w:r>
        <w:rPr>
          <w:color w:val="000000"/>
        </w:rPr>
        <w:t>作为危废处理</w:t>
      </w:r>
      <w:r>
        <w:rPr>
          <w:rFonts w:hint="eastAsia"/>
          <w:color w:val="000000"/>
        </w:rPr>
        <w:t>，</w:t>
      </w:r>
      <w:r>
        <w:rPr>
          <w:color w:val="000000"/>
        </w:rPr>
        <w:t>可控制在厂区内。</w:t>
      </w:r>
    </w:p>
    <w:p>
      <w:pPr>
        <w:ind w:firstLine="560"/>
        <w:rPr>
          <w:color w:val="000000"/>
        </w:rPr>
      </w:pPr>
      <w:r>
        <w:rPr>
          <w:rFonts w:hint="eastAsia"/>
          <w:color w:val="000000"/>
        </w:rPr>
        <w:t>②烧碱</w:t>
      </w:r>
      <w:r>
        <w:rPr>
          <w:color w:val="000000"/>
        </w:rPr>
        <w:t>储罐区在接驳过程发生泄漏，</w:t>
      </w:r>
      <w:r>
        <w:rPr>
          <w:rFonts w:hint="eastAsia"/>
          <w:color w:val="000000"/>
        </w:rPr>
        <w:t>现场监护人员及时切断应急阀，泄漏量</w:t>
      </w:r>
      <w:r>
        <w:rPr>
          <w:color w:val="000000"/>
        </w:rPr>
        <w:t>较少</w:t>
      </w:r>
      <w:r>
        <w:rPr>
          <w:rFonts w:hint="eastAsia"/>
          <w:color w:val="000000"/>
        </w:rPr>
        <w:t>，且</w:t>
      </w:r>
      <w:r>
        <w:rPr>
          <w:color w:val="000000"/>
        </w:rPr>
        <w:t>在围堰的接收池内收集，采用消防进行吸附</w:t>
      </w:r>
      <w:r>
        <w:rPr>
          <w:rFonts w:hint="eastAsia"/>
          <w:color w:val="000000"/>
        </w:rPr>
        <w:t>，</w:t>
      </w:r>
      <w:r>
        <w:rPr>
          <w:color w:val="000000"/>
        </w:rPr>
        <w:t>集中收集到应急桶内</w:t>
      </w:r>
      <w:r>
        <w:rPr>
          <w:rFonts w:hint="eastAsia"/>
          <w:color w:val="000000"/>
        </w:rPr>
        <w:t>，</w:t>
      </w:r>
      <w:r>
        <w:rPr>
          <w:color w:val="000000"/>
        </w:rPr>
        <w:t>作为危废处理</w:t>
      </w:r>
      <w:r>
        <w:rPr>
          <w:rFonts w:hint="eastAsia"/>
          <w:color w:val="000000"/>
        </w:rPr>
        <w:t>，</w:t>
      </w:r>
      <w:r>
        <w:rPr>
          <w:color w:val="000000"/>
        </w:rPr>
        <w:t>泄漏物料可控制在围堰内</w:t>
      </w:r>
      <w:r>
        <w:rPr>
          <w:rFonts w:hint="eastAsia"/>
          <w:color w:val="000000"/>
        </w:rPr>
        <w:t>，</w:t>
      </w:r>
      <w:r>
        <w:rPr>
          <w:color w:val="000000"/>
        </w:rPr>
        <w:t>现场人员即可处置。</w:t>
      </w:r>
    </w:p>
    <w:p>
      <w:pPr>
        <w:ind w:firstLine="560"/>
        <w:rPr>
          <w:rFonts w:hint="eastAsia"/>
          <w:color w:val="000000"/>
        </w:rPr>
      </w:pPr>
      <w:r>
        <w:rPr>
          <w:rFonts w:hint="eastAsia"/>
          <w:color w:val="000000"/>
        </w:rPr>
        <w:t>③</w:t>
      </w:r>
      <w:r>
        <w:rPr>
          <w:color w:val="000000"/>
        </w:rPr>
        <w:t>制药一车间内、制药二车间外的盐酸储槽在接驳过程发生泄漏</w:t>
      </w:r>
      <w:r>
        <w:rPr>
          <w:rFonts w:hint="eastAsia"/>
          <w:color w:val="000000"/>
        </w:rPr>
        <w:t>，现场监护人员及时切断应急阀，泄漏量</w:t>
      </w:r>
      <w:r>
        <w:rPr>
          <w:color w:val="000000"/>
        </w:rPr>
        <w:t>较少</w:t>
      </w:r>
      <w:r>
        <w:rPr>
          <w:rFonts w:hint="eastAsia"/>
          <w:color w:val="000000"/>
        </w:rPr>
        <w:t>，且及时采用消防沙袋进行围堵、封堵周边雨水口，泄漏</w:t>
      </w:r>
      <w:r>
        <w:rPr>
          <w:color w:val="000000"/>
        </w:rPr>
        <w:t>的盐酸控制在</w:t>
      </w:r>
      <w:r>
        <w:rPr>
          <w:rFonts w:hint="eastAsia"/>
          <w:color w:val="000000"/>
        </w:rPr>
        <w:t>厂区</w:t>
      </w:r>
      <w:r>
        <w:rPr>
          <w:color w:val="000000"/>
        </w:rPr>
        <w:t>内，现场人员即可处置。</w:t>
      </w:r>
    </w:p>
    <w:p>
      <w:pPr>
        <w:ind w:firstLine="560"/>
        <w:rPr>
          <w:color w:val="000000"/>
        </w:rPr>
      </w:pPr>
      <w:r>
        <w:rPr>
          <w:rFonts w:hint="eastAsia"/>
          <w:color w:val="000000"/>
        </w:rPr>
        <w:t>④</w:t>
      </w:r>
      <w:r>
        <w:rPr>
          <w:color w:val="000000"/>
        </w:rPr>
        <w:t>制药一生产车间</w:t>
      </w:r>
      <w:r>
        <w:rPr>
          <w:rFonts w:hint="eastAsia"/>
          <w:color w:val="000000"/>
        </w:rPr>
        <w:t>、</w:t>
      </w:r>
      <w:r>
        <w:rPr>
          <w:color w:val="000000"/>
        </w:rPr>
        <w:t>制药二生产车间内安装监控及报警系统，中控室24小时值守，显示器内能监控液位及设备、管道泄漏情况，并且DCS自动控制系统中设置液位报警。若管道接口发生泄漏，显示器提示</w:t>
      </w:r>
      <w:r>
        <w:rPr>
          <w:rFonts w:hint="eastAsia"/>
          <w:color w:val="000000"/>
        </w:rPr>
        <w:t>泄漏点</w:t>
      </w:r>
      <w:r>
        <w:rPr>
          <w:color w:val="000000"/>
        </w:rPr>
        <w:t>，中控室人员及时通知现场人员</w:t>
      </w:r>
      <w:r>
        <w:rPr>
          <w:rFonts w:hint="eastAsia"/>
          <w:color w:val="000000"/>
        </w:rPr>
        <w:t>关闭</w:t>
      </w:r>
      <w:r>
        <w:rPr>
          <w:color w:val="000000"/>
        </w:rPr>
        <w:t>阀门，及时切断泄漏源</w:t>
      </w:r>
      <w:r>
        <w:rPr>
          <w:rFonts w:hint="eastAsia"/>
          <w:color w:val="000000"/>
        </w:rPr>
        <w:t>，泄漏量较小，</w:t>
      </w:r>
      <w:r>
        <w:rPr>
          <w:color w:val="000000"/>
        </w:rPr>
        <w:t>泄漏物料可控制在车间内</w:t>
      </w:r>
      <w:r>
        <w:rPr>
          <w:rFonts w:hint="eastAsia"/>
          <w:color w:val="000000"/>
        </w:rPr>
        <w:t>，现场人员即可处置。</w:t>
      </w:r>
    </w:p>
    <w:p>
      <w:pPr>
        <w:ind w:firstLine="560"/>
        <w:rPr>
          <w:color w:val="000000"/>
        </w:rPr>
      </w:pPr>
      <w:r>
        <w:rPr>
          <w:rFonts w:hint="eastAsia"/>
          <w:color w:val="000000"/>
        </w:rPr>
        <w:t>⑤</w:t>
      </w:r>
      <w:r>
        <w:rPr>
          <w:color w:val="000000"/>
        </w:rPr>
        <w:t>制药二车间内的电热油炉中热煤油发生</w:t>
      </w:r>
      <w:r>
        <w:rPr>
          <w:rFonts w:hint="eastAsia"/>
          <w:color w:val="000000"/>
        </w:rPr>
        <w:t>少量</w:t>
      </w:r>
      <w:r>
        <w:rPr>
          <w:color w:val="000000"/>
        </w:rPr>
        <w:t>泄漏，现场人员</w:t>
      </w:r>
      <w:r>
        <w:rPr>
          <w:rFonts w:hint="eastAsia"/>
          <w:color w:val="000000"/>
        </w:rPr>
        <w:t>采用消防沙进行吸附</w:t>
      </w:r>
      <w:r>
        <w:rPr>
          <w:color w:val="000000"/>
        </w:rPr>
        <w:t>，集中收集到应急桶内，作为危废处理，泄漏物料控制在车间内。</w:t>
      </w:r>
    </w:p>
    <w:p>
      <w:pPr>
        <w:ind w:firstLine="560"/>
        <w:rPr>
          <w:rFonts w:hint="eastAsia"/>
          <w:color w:val="000000"/>
        </w:rPr>
      </w:pPr>
      <w:r>
        <w:rPr>
          <w:rFonts w:hint="eastAsia"/>
          <w:color w:val="000000"/>
        </w:rPr>
        <w:t>⑥</w:t>
      </w:r>
      <w:r>
        <w:rPr>
          <w:color w:val="000000"/>
        </w:rPr>
        <w:t>危废暂存间内的废油存放桶破损发生泄漏，泄漏量较小，可控制在危废暂存间内。</w:t>
      </w:r>
    </w:p>
    <w:p>
      <w:pPr>
        <w:ind w:firstLine="560"/>
        <w:rPr>
          <w:rFonts w:hint="eastAsia"/>
          <w:color w:val="000000"/>
        </w:rPr>
      </w:pPr>
      <w:r>
        <w:rPr>
          <w:rFonts w:hint="eastAsia"/>
          <w:color w:val="000000"/>
        </w:rPr>
        <w:t>⑦</w:t>
      </w:r>
      <w:r>
        <w:rPr>
          <w:color w:val="000000"/>
        </w:rPr>
        <w:t>危废暂存间内的废油泄漏，</w:t>
      </w:r>
      <w:r>
        <w:rPr>
          <w:rFonts w:hint="eastAsia"/>
          <w:color w:val="000000"/>
        </w:rPr>
        <w:t>遇明火</w:t>
      </w:r>
      <w:r>
        <w:rPr>
          <w:color w:val="000000"/>
        </w:rPr>
        <w:t>引起火灾，</w:t>
      </w:r>
      <w:r>
        <w:rPr>
          <w:rFonts w:hint="eastAsia"/>
          <w:color w:val="000000"/>
        </w:rPr>
        <w:t>使用</w:t>
      </w:r>
      <w:r>
        <w:rPr>
          <w:color w:val="000000"/>
        </w:rPr>
        <w:t>干粉灭火器灭火</w:t>
      </w:r>
      <w:r>
        <w:rPr>
          <w:rFonts w:hint="eastAsia"/>
          <w:color w:val="000000"/>
        </w:rPr>
        <w:t>，</w:t>
      </w:r>
      <w:r>
        <w:rPr>
          <w:color w:val="000000"/>
        </w:rPr>
        <w:t>无消防废水产生。</w:t>
      </w:r>
    </w:p>
    <w:p>
      <w:pPr>
        <w:ind w:firstLine="560"/>
        <w:rPr>
          <w:color w:val="000000"/>
        </w:rPr>
      </w:pPr>
      <w:r>
        <w:rPr>
          <w:rFonts w:hint="eastAsia"/>
          <w:color w:val="000000"/>
        </w:rPr>
        <w:t>⑧</w:t>
      </w:r>
      <w:r>
        <w:rPr>
          <w:color w:val="000000"/>
        </w:rPr>
        <w:t>化验室内安装监控系统</w:t>
      </w:r>
      <w:r>
        <w:rPr>
          <w:rFonts w:hint="eastAsia"/>
          <w:color w:val="000000"/>
        </w:rPr>
        <w:t>，</w:t>
      </w:r>
      <w:r>
        <w:rPr>
          <w:color w:val="000000"/>
        </w:rPr>
        <w:t>视频监控</w:t>
      </w:r>
      <w:r>
        <w:rPr>
          <w:rFonts w:hint="eastAsia"/>
          <w:color w:val="000000"/>
        </w:rPr>
        <w:t>或</w:t>
      </w:r>
      <w:r>
        <w:rPr>
          <w:color w:val="000000"/>
        </w:rPr>
        <w:t>巡视人员</w:t>
      </w:r>
      <w:r>
        <w:rPr>
          <w:rFonts w:hint="eastAsia"/>
          <w:color w:val="000000"/>
        </w:rPr>
        <w:t>发现</w:t>
      </w:r>
      <w:r>
        <w:rPr>
          <w:color w:val="000000"/>
        </w:rPr>
        <w:t>试剂包装破损发生泄漏，试剂用量较小</w:t>
      </w:r>
      <w:r>
        <w:rPr>
          <w:rFonts w:hint="eastAsia"/>
          <w:color w:val="000000"/>
        </w:rPr>
        <w:t>，</w:t>
      </w:r>
      <w:r>
        <w:rPr>
          <w:color w:val="000000"/>
        </w:rPr>
        <w:t>可控制在化验室内（不超出化验室区域）。</w:t>
      </w:r>
    </w:p>
    <w:p>
      <w:pPr>
        <w:ind w:firstLine="560"/>
        <w:rPr>
          <w:color w:val="000000"/>
        </w:rPr>
      </w:pPr>
      <w:r>
        <w:rPr>
          <w:rFonts w:hint="eastAsia"/>
          <w:color w:val="000000"/>
        </w:rPr>
        <w:t>⑨</w:t>
      </w:r>
      <w:r>
        <w:rPr>
          <w:color w:val="000000"/>
        </w:rPr>
        <w:t>环保设施失灵，生产过程产生的废气不经处理便直接排放。</w:t>
      </w:r>
    </w:p>
    <w:p>
      <w:pPr>
        <w:pStyle w:val="4"/>
        <w:rPr>
          <w:color w:val="000000"/>
        </w:rPr>
      </w:pPr>
      <w:bookmarkStart w:id="26" w:name="_Toc120195388"/>
      <w:r>
        <w:rPr>
          <w:color w:val="000000"/>
        </w:rPr>
        <w:t>6.3预警发布和解除</w:t>
      </w:r>
      <w:bookmarkEnd w:id="26"/>
    </w:p>
    <w:p>
      <w:pPr>
        <w:pStyle w:val="5"/>
        <w:rPr>
          <w:color w:val="000000"/>
        </w:rPr>
      </w:pPr>
      <w:r>
        <w:rPr>
          <w:color w:val="000000"/>
        </w:rPr>
        <w:t>6.3.1预警发布程序</w:t>
      </w:r>
    </w:p>
    <w:p>
      <w:pPr>
        <w:ind w:firstLine="560"/>
        <w:rPr>
          <w:color w:val="000000"/>
        </w:rPr>
      </w:pPr>
      <w:r>
        <w:rPr>
          <w:color w:val="000000"/>
        </w:rPr>
        <w:t>（1）应急预案启动后，指挥部成员未经批准不得外出，领导组成员不在或者有特殊情况时，按职务高低递补。指挥部办公室进入紧急状态，密切监视事件动态，保持与天津经济技术开发区生态环境局联系，注意异常情况，提出分析意见，并随时报告事件情况变化。</w:t>
      </w:r>
    </w:p>
    <w:p>
      <w:pPr>
        <w:ind w:firstLine="560"/>
        <w:rPr>
          <w:color w:val="000000"/>
        </w:rPr>
      </w:pPr>
      <w:r>
        <w:rPr>
          <w:color w:val="000000"/>
        </w:rPr>
        <w:t>（2）在事件应急期，指挥部根据本地政府的要求，部署事件应急预案的实施工作，对事件应急活动中发生的争议采取紧急处理措施。 同时随时接受事件防范工作主管部门和本地市政府对实施事件应急预案工作进行检查。</w:t>
      </w:r>
    </w:p>
    <w:p>
      <w:pPr>
        <w:ind w:firstLine="560"/>
        <w:rPr>
          <w:color w:val="000000"/>
        </w:rPr>
      </w:pPr>
      <w:r>
        <w:rPr>
          <w:color w:val="000000"/>
        </w:rPr>
        <w:t>（3）在事件紧急期，指挥部应当根据实际情况，向预警区的人员提出撤离的劝告；情况紧急时，应当有组织地进行疏散；根据事件发展情况，指挥部办公室发布事件通知，必要时组织疏散（疏散地点选择在空旷的地点，如：办公楼前空旷地带）。</w:t>
      </w:r>
    </w:p>
    <w:p>
      <w:pPr>
        <w:ind w:firstLine="560"/>
        <w:rPr>
          <w:color w:val="000000"/>
        </w:rPr>
      </w:pPr>
      <w:r>
        <w:rPr>
          <w:color w:val="000000"/>
        </w:rPr>
        <w:t>（4）指挥部组织、督促有关部门对生命线工程和次生灾害源采取紧急排查与防护，对重要危险源或物品实行关、停、并、转措施；保卫部必须派人维护现场治安。</w:t>
      </w:r>
    </w:p>
    <w:p>
      <w:pPr>
        <w:ind w:firstLine="560"/>
        <w:rPr>
          <w:color w:val="000000"/>
        </w:rPr>
      </w:pPr>
      <w:r>
        <w:rPr>
          <w:color w:val="000000"/>
        </w:rPr>
        <w:t>（5）指挥部负责组织督促、检查各部门抢险救灾的准备工作。</w:t>
      </w:r>
    </w:p>
    <w:p>
      <w:pPr>
        <w:ind w:firstLine="560"/>
        <w:rPr>
          <w:color w:val="000000"/>
        </w:rPr>
      </w:pPr>
      <w:r>
        <w:rPr>
          <w:color w:val="000000"/>
        </w:rPr>
        <w:t>（6）指挥部负责组织做好平息事件谣传或误传，确保社会秩序稳定。</w:t>
      </w:r>
    </w:p>
    <w:p>
      <w:pPr>
        <w:ind w:firstLine="560"/>
        <w:rPr>
          <w:color w:val="000000"/>
        </w:rPr>
      </w:pPr>
      <w:r>
        <w:rPr>
          <w:color w:val="000000"/>
        </w:rPr>
        <w:t>（7）指挥部负责督促有关部门对事件救灾物资的供给和对需救助对象的统计调查，确保无任何漏洞。</w:t>
      </w:r>
    </w:p>
    <w:p>
      <w:pPr>
        <w:ind w:firstLine="560"/>
        <w:rPr>
          <w:color w:val="000000"/>
        </w:rPr>
      </w:pPr>
      <w:r>
        <w:rPr>
          <w:color w:val="000000"/>
        </w:rPr>
        <w:t>（8）预警信息收集与确认。</w:t>
      </w:r>
    </w:p>
    <w:p>
      <w:pPr>
        <w:ind w:firstLine="560"/>
        <w:rPr>
          <w:color w:val="000000"/>
        </w:rPr>
      </w:pPr>
      <w:r>
        <w:rPr>
          <w:color w:val="000000"/>
        </w:rPr>
        <w:t>（9）预警报告制度。各单位发现事件异常、发现引发重大次生灾害隐患，要及时报告指挥部办公室。</w:t>
      </w:r>
    </w:p>
    <w:p>
      <w:pPr>
        <w:ind w:firstLine="560"/>
        <w:rPr>
          <w:color w:val="000000"/>
        </w:rPr>
      </w:pPr>
      <w:r>
        <w:rPr>
          <w:color w:val="000000"/>
        </w:rPr>
        <w:t>（10）接警确认制度。指挥部接到有关预警信息报告后，要及时准确记录，立即组织确认。</w:t>
      </w:r>
    </w:p>
    <w:p>
      <w:pPr>
        <w:ind w:firstLine="560"/>
        <w:rPr>
          <w:color w:val="000000"/>
        </w:rPr>
      </w:pPr>
      <w:r>
        <w:rPr>
          <w:color w:val="000000"/>
        </w:rPr>
        <w:t>（11）报警通知制度。指挥部将信息确认结果及时向报告者反馈，并将确认信息及时报生态环境局协调领导组办公室进行核实、处理。</w:t>
      </w:r>
    </w:p>
    <w:p>
      <w:pPr>
        <w:ind w:firstLine="560"/>
        <w:rPr>
          <w:color w:val="000000"/>
        </w:rPr>
      </w:pPr>
      <w:r>
        <w:rPr>
          <w:color w:val="000000"/>
        </w:rPr>
        <w:t>（12）在事件应急期，指挥部有权在公司紧急调用物资、设备、人员和占用场地，任何组织或者个人都不得阻拦；调用物资、设备或者占用场地的，事后应及时归还或者给予补偿。</w:t>
      </w:r>
    </w:p>
    <w:p>
      <w:pPr>
        <w:ind w:firstLine="560"/>
        <w:rPr>
          <w:color w:val="000000"/>
        </w:rPr>
      </w:pPr>
      <w:r>
        <w:rPr>
          <w:color w:val="000000"/>
        </w:rPr>
        <w:t>（13）在事件应急期，公司各行动组和车间必须准备必要的值班日记，以便记下行动中的紧急情况。</w:t>
      </w:r>
    </w:p>
    <w:p>
      <w:pPr>
        <w:pStyle w:val="5"/>
        <w:rPr>
          <w:color w:val="000000"/>
        </w:rPr>
      </w:pPr>
      <w:r>
        <w:rPr>
          <w:color w:val="000000"/>
        </w:rPr>
        <w:t>6.3.2预警解除</w:t>
      </w:r>
    </w:p>
    <w:p>
      <w:pPr>
        <w:ind w:firstLine="560"/>
        <w:rPr>
          <w:color w:val="000000"/>
        </w:rPr>
      </w:pPr>
      <w:r>
        <w:rPr>
          <w:color w:val="000000"/>
        </w:rPr>
        <w:t>根据事情发展动态和处置情况，由发布分级预警的机构决定并解除预警。</w:t>
      </w:r>
    </w:p>
    <w:p>
      <w:pPr>
        <w:pStyle w:val="5"/>
        <w:rPr>
          <w:color w:val="000000"/>
        </w:rPr>
      </w:pPr>
      <w:r>
        <w:rPr>
          <w:color w:val="000000"/>
        </w:rPr>
        <w:t>6.3.3预警相应措施</w:t>
      </w:r>
    </w:p>
    <w:p>
      <w:pPr>
        <w:ind w:firstLine="560"/>
        <w:rPr>
          <w:color w:val="000000"/>
        </w:rPr>
      </w:pPr>
      <w:r>
        <w:rPr>
          <w:color w:val="000000"/>
        </w:rPr>
        <w:t>进入预警状态后，本企业应当采取以下措施：</w:t>
      </w:r>
    </w:p>
    <w:p>
      <w:pPr>
        <w:ind w:firstLine="560"/>
        <w:rPr>
          <w:color w:val="000000"/>
        </w:rPr>
      </w:pPr>
      <w:r>
        <w:rPr>
          <w:color w:val="000000"/>
        </w:rPr>
        <w:t>（1）立即启动相关应急预案。</w:t>
      </w:r>
    </w:p>
    <w:p>
      <w:pPr>
        <w:ind w:firstLine="560"/>
        <w:rPr>
          <w:color w:val="000000"/>
        </w:rPr>
      </w:pPr>
      <w:r>
        <w:rPr>
          <w:color w:val="000000"/>
        </w:rPr>
        <w:t>（2）发布预警公告。</w:t>
      </w:r>
    </w:p>
    <w:p>
      <w:pPr>
        <w:ind w:firstLine="560"/>
        <w:rPr>
          <w:color w:val="000000"/>
        </w:rPr>
      </w:pPr>
      <w:r>
        <w:rPr>
          <w:color w:val="000000"/>
        </w:rPr>
        <w:t>（3）对预警信息进行跟踪、汇总，并建立管理台账。</w:t>
      </w:r>
    </w:p>
    <w:p>
      <w:pPr>
        <w:ind w:firstLine="560"/>
        <w:rPr>
          <w:color w:val="000000"/>
        </w:rPr>
      </w:pPr>
      <w:r>
        <w:rPr>
          <w:color w:val="000000"/>
        </w:rPr>
        <w:t>（4）汇总上报的预警响应技术文件。</w:t>
      </w:r>
    </w:p>
    <w:p>
      <w:pPr>
        <w:pStyle w:val="4"/>
        <w:rPr>
          <w:color w:val="000000"/>
        </w:rPr>
      </w:pPr>
      <w:bookmarkStart w:id="27" w:name="_Toc120195389"/>
      <w:r>
        <w:rPr>
          <w:color w:val="000000"/>
        </w:rPr>
        <w:t>6.4及时有效的报警方式</w:t>
      </w:r>
      <w:bookmarkEnd w:id="27"/>
    </w:p>
    <w:p>
      <w:pPr>
        <w:ind w:firstLine="560"/>
        <w:rPr>
          <w:color w:val="000000"/>
        </w:rPr>
      </w:pPr>
      <w:r>
        <w:rPr>
          <w:color w:val="000000"/>
        </w:rPr>
        <w:t>（1）发生突发环境应急事件时，对内采用报警装置、电话、广播等媒体形式报警。</w:t>
      </w:r>
    </w:p>
    <w:p>
      <w:pPr>
        <w:ind w:firstLine="560"/>
        <w:rPr>
          <w:color w:val="000000"/>
        </w:rPr>
      </w:pPr>
      <w:r>
        <w:rPr>
          <w:color w:val="000000"/>
        </w:rPr>
        <w:t>有关要求：</w:t>
      </w:r>
    </w:p>
    <w:p>
      <w:pPr>
        <w:ind w:firstLine="560"/>
        <w:rPr>
          <w:color w:val="000000"/>
        </w:rPr>
      </w:pPr>
      <w:r>
        <w:rPr>
          <w:rFonts w:hint="eastAsia"/>
          <w:color w:val="000000"/>
        </w:rPr>
        <w:t>①</w:t>
      </w:r>
      <w:r>
        <w:rPr>
          <w:color w:val="000000"/>
        </w:rPr>
        <w:t>所有人员必须 24 小时开机；</w:t>
      </w:r>
    </w:p>
    <w:p>
      <w:pPr>
        <w:ind w:firstLine="560"/>
        <w:rPr>
          <w:color w:val="000000"/>
        </w:rPr>
      </w:pPr>
      <w:r>
        <w:rPr>
          <w:rFonts w:hint="eastAsia"/>
          <w:color w:val="000000"/>
        </w:rPr>
        <w:t>②</w:t>
      </w:r>
      <w:r>
        <w:rPr>
          <w:color w:val="000000"/>
        </w:rPr>
        <w:t>接到应急抢险命令后无条件迅速赶到集合地点。</w:t>
      </w:r>
    </w:p>
    <w:p>
      <w:pPr>
        <w:ind w:firstLine="560"/>
        <w:rPr>
          <w:color w:val="000000"/>
        </w:rPr>
      </w:pPr>
      <w:r>
        <w:rPr>
          <w:color w:val="000000"/>
        </w:rPr>
        <w:t>（2）发生突发环境应急事件时，对外部采用有线电话、手机进行通讯联络。具体联络方式见附件。</w:t>
      </w:r>
    </w:p>
    <w:p>
      <w:pPr>
        <w:pStyle w:val="4"/>
        <w:rPr>
          <w:color w:val="000000"/>
        </w:rPr>
      </w:pPr>
      <w:bookmarkStart w:id="28" w:name="_Toc120195390"/>
      <w:r>
        <w:rPr>
          <w:color w:val="000000"/>
        </w:rPr>
        <w:t>6.5信息报告与处理</w:t>
      </w:r>
      <w:bookmarkEnd w:id="28"/>
    </w:p>
    <w:p>
      <w:pPr>
        <w:pStyle w:val="5"/>
        <w:rPr>
          <w:color w:val="000000"/>
        </w:rPr>
      </w:pPr>
      <w:r>
        <w:rPr>
          <w:color w:val="000000"/>
        </w:rPr>
        <w:t>6.5.1企业内部报告</w:t>
      </w:r>
    </w:p>
    <w:p>
      <w:pPr>
        <w:ind w:firstLine="560"/>
        <w:rPr>
          <w:color w:val="000000"/>
        </w:rPr>
      </w:pPr>
      <w:r>
        <w:rPr>
          <w:color w:val="000000"/>
        </w:rPr>
        <w:t>根据有关法律法规和上级有关规定，结合本企业实际，制定公司内部报告程序如下，望有关部门和人员遵照执行。</w:t>
      </w:r>
    </w:p>
    <w:p>
      <w:pPr>
        <w:ind w:firstLine="560"/>
        <w:rPr>
          <w:color w:val="000000"/>
        </w:rPr>
      </w:pPr>
      <w:r>
        <w:rPr>
          <w:color w:val="000000"/>
        </w:rPr>
        <w:t>（1）24 小时值守电话。</w:t>
      </w:r>
    </w:p>
    <w:p>
      <w:pPr>
        <w:ind w:firstLine="560"/>
        <w:rPr>
          <w:color w:val="000000"/>
        </w:rPr>
      </w:pPr>
      <w:r>
        <w:rPr>
          <w:color w:val="000000"/>
        </w:rPr>
        <w:t xml:space="preserve"> 公司内部 24 小时应急值班电话：25290061</w:t>
      </w:r>
    </w:p>
    <w:p>
      <w:pPr>
        <w:ind w:firstLine="560"/>
        <w:rPr>
          <w:color w:val="000000"/>
        </w:rPr>
      </w:pPr>
      <w:r>
        <w:rPr>
          <w:color w:val="000000"/>
        </w:rPr>
        <w:t>（2）发生突发环境事件时，应及时向应急指挥部办公室报告情况，并说明所发生事件的时间、地点、事件类型，事件概况及现场情况，已经采取的措施等。</w:t>
      </w:r>
    </w:p>
    <w:p>
      <w:pPr>
        <w:ind w:firstLine="560"/>
        <w:rPr>
          <w:color w:val="000000"/>
        </w:rPr>
      </w:pPr>
      <w:r>
        <w:rPr>
          <w:color w:val="000000"/>
        </w:rPr>
        <w:t>（3）值班人员必须做好书面记录，并立即向总指挥报告。</w:t>
      </w:r>
    </w:p>
    <w:p>
      <w:pPr>
        <w:ind w:firstLine="560"/>
        <w:rPr>
          <w:color w:val="000000"/>
        </w:rPr>
      </w:pPr>
      <w:r>
        <w:rPr>
          <w:color w:val="000000"/>
        </w:rPr>
        <w:t>（4）总指挥依据所发生的突发环境事件，按预案规定通过警报或广播向全体职工通报，并向应急抢险组等应急救援小组下达应急抢险命令。</w:t>
      </w:r>
    </w:p>
    <w:p>
      <w:pPr>
        <w:ind w:firstLine="560"/>
        <w:rPr>
          <w:color w:val="000000"/>
        </w:rPr>
      </w:pPr>
      <w:r>
        <w:rPr>
          <w:color w:val="000000"/>
        </w:rPr>
        <w:t>（5）各组负责人立即组织其成员赶赴事件现场，开始应急抢险工作。</w:t>
      </w:r>
    </w:p>
    <w:p>
      <w:pPr>
        <w:pStyle w:val="5"/>
        <w:rPr>
          <w:color w:val="000000"/>
        </w:rPr>
      </w:pPr>
      <w:r>
        <w:rPr>
          <w:color w:val="000000"/>
        </w:rPr>
        <w:t>6.5.2信息分级上报</w:t>
      </w:r>
    </w:p>
    <w:p>
      <w:pPr>
        <w:ind w:firstLine="560"/>
        <w:rPr>
          <w:color w:val="000000"/>
        </w:rPr>
      </w:pPr>
      <w:r>
        <w:rPr>
          <w:color w:val="000000"/>
        </w:rPr>
        <w:t>突发现场级（三级）环境事件发生后，现场负责人报告应急办公室，经初步判断后报告应急指挥部。突发公司级（二级）环境事件发生后，现场负责人报告应急办公室，经初步判断后报告应急指挥部。突发区域级（一级）环境事件发生后，在向公司应急指挥部报告后，由总指挥立即向天津经济技术开发区生态环境局报告。</w:t>
      </w:r>
    </w:p>
    <w:p>
      <w:pPr>
        <w:ind w:firstLine="560"/>
        <w:rPr>
          <w:color w:val="000000"/>
        </w:rPr>
      </w:pPr>
      <w:r>
        <w:rPr>
          <w:color w:val="000000"/>
        </w:rPr>
        <w:t>突发环境事件的报告分为初报、续报和处理结果报告三类。初报从发现事件后立即上报；续报在查清有关基本情况后随时上报；处理结果报告在事件处理完毕后立即上报。紧急情况下可越级上报。</w:t>
      </w:r>
    </w:p>
    <w:p>
      <w:pPr>
        <w:ind w:firstLine="560"/>
        <w:rPr>
          <w:color w:val="000000"/>
        </w:rPr>
      </w:pPr>
      <w:r>
        <w:rPr>
          <w:color w:val="000000"/>
        </w:rPr>
        <w:t>初报可用电话直接报告，主要内容包括：泄漏物质、泄漏时间、泄漏地点、泄漏量、人员受害情况、已经采取的措施、泄漏物质流向、可能会影响的区域、转化方式趋向等初步情况。在电话报告后应及时补充传真、网络、邮寄、面呈等书面报告。</w:t>
      </w:r>
    </w:p>
    <w:p>
      <w:pPr>
        <w:ind w:firstLine="560"/>
        <w:rPr>
          <w:color w:val="000000"/>
        </w:rPr>
      </w:pPr>
      <w:r>
        <w:rPr>
          <w:color w:val="000000"/>
        </w:rPr>
        <w:t>续报可通过网络或书面报告，在初报的基础上报告有关确切数据，事件发生的原因、过程、进展情况及采取的应急措施等基本情况。</w:t>
      </w:r>
    </w:p>
    <w:p>
      <w:pPr>
        <w:ind w:firstLine="560"/>
        <w:rPr>
          <w:color w:val="000000"/>
        </w:rPr>
      </w:pPr>
      <w:r>
        <w:rPr>
          <w:color w:val="000000"/>
        </w:rPr>
        <w:t>处理结果报告在初报和续报的基础上采用书面报告，报告处理事件的措施、过程和结果，事件潜在或间接的危害、社会影响、处理后的遗留问题，参加处理工作的有关部门和工作内容，出具有关危害与损失的证明文件等详细情况。</w:t>
      </w:r>
    </w:p>
    <w:p>
      <w:pPr>
        <w:ind w:firstLine="560"/>
        <w:rPr>
          <w:color w:val="000000"/>
        </w:rPr>
      </w:pPr>
      <w:r>
        <w:rPr>
          <w:color w:val="000000"/>
        </w:rPr>
        <w:t>突发环境一级事件信息上报电话： 天津经济技术开发区生态环境局电话：12369/022-25201119</w:t>
      </w:r>
    </w:p>
    <w:p>
      <w:pPr>
        <w:pStyle w:val="5"/>
        <w:rPr>
          <w:color w:val="000000"/>
        </w:rPr>
      </w:pPr>
      <w:r>
        <w:rPr>
          <w:color w:val="000000"/>
        </w:rPr>
        <w:t>6.5.3报告内容</w:t>
      </w:r>
    </w:p>
    <w:p>
      <w:pPr>
        <w:ind w:firstLine="560"/>
        <w:rPr>
          <w:rFonts w:hint="eastAsia"/>
          <w:color w:val="000000"/>
        </w:rPr>
      </w:pPr>
      <w:r>
        <w:rPr>
          <w:rFonts w:hint="eastAsia"/>
          <w:color w:val="000000"/>
        </w:rPr>
        <w:t>公司通报系统以应急指挥中心向外通报，依实际灾害状况做必要的通报，当灾害程度提升时，应根据发生灾害的物质，泄漏或火灾程度，风向等适当的通报。</w:t>
      </w:r>
    </w:p>
    <w:p>
      <w:pPr>
        <w:ind w:firstLine="560"/>
        <w:rPr>
          <w:color w:val="000000"/>
        </w:rPr>
      </w:pPr>
      <w:r>
        <w:rPr>
          <w:rFonts w:hint="eastAsia"/>
          <w:color w:val="000000"/>
        </w:rPr>
        <w:t>（</w:t>
      </w:r>
      <w:r>
        <w:rPr>
          <w:color w:val="000000"/>
        </w:rPr>
        <w:t>1</w:t>
      </w:r>
      <w:r>
        <w:rPr>
          <w:rFonts w:hint="eastAsia"/>
          <w:color w:val="000000"/>
        </w:rPr>
        <w:t>）公司内通报</w:t>
      </w:r>
    </w:p>
    <w:p>
      <w:pPr>
        <w:ind w:firstLine="560"/>
        <w:rPr>
          <w:color w:val="000000"/>
        </w:rPr>
      </w:pPr>
      <w:r>
        <w:rPr>
          <w:rFonts w:hint="eastAsia"/>
          <w:color w:val="000000"/>
        </w:rPr>
        <w:t>公司内通报由应急指挥中心通知各应急小组人员进行紧急处理。</w:t>
      </w:r>
    </w:p>
    <w:p>
      <w:pPr>
        <w:ind w:firstLine="560"/>
        <w:rPr>
          <w:color w:val="000000"/>
        </w:rPr>
      </w:pPr>
      <w:r>
        <w:rPr>
          <w:rFonts w:hint="eastAsia"/>
          <w:color w:val="000000"/>
        </w:rPr>
        <w:t>（</w:t>
      </w:r>
      <w:r>
        <w:rPr>
          <w:color w:val="000000"/>
        </w:rPr>
        <w:t>2</w:t>
      </w:r>
      <w:r>
        <w:rPr>
          <w:rFonts w:hint="eastAsia"/>
          <w:color w:val="000000"/>
        </w:rPr>
        <w:t>）公司外通报</w:t>
      </w:r>
    </w:p>
    <w:p>
      <w:pPr>
        <w:ind w:firstLine="560"/>
        <w:rPr>
          <w:rFonts w:hint="eastAsia"/>
          <w:color w:val="000000"/>
        </w:rPr>
      </w:pPr>
      <w:r>
        <w:rPr>
          <w:rFonts w:hint="eastAsia"/>
          <w:color w:val="000000"/>
        </w:rPr>
        <w:t>公司外通报主要是请求支援，当紧急事故发生时根据应急预案中列出的相关单位电话请求支援。</w:t>
      </w:r>
    </w:p>
    <w:p>
      <w:pPr>
        <w:ind w:firstLine="560"/>
        <w:rPr>
          <w:rFonts w:hint="eastAsia"/>
          <w:color w:val="000000"/>
        </w:rPr>
      </w:pPr>
      <w:r>
        <w:rPr>
          <w:rFonts w:hint="eastAsia"/>
          <w:color w:val="000000"/>
        </w:rPr>
        <w:t>（3）通报词</w:t>
      </w:r>
    </w:p>
    <w:p>
      <w:pPr>
        <w:ind w:firstLine="560"/>
        <w:rPr>
          <w:rFonts w:hint="eastAsia"/>
          <w:color w:val="000000"/>
        </w:rPr>
      </w:pPr>
      <w:r>
        <w:rPr>
          <w:rFonts w:hint="eastAsia"/>
          <w:color w:val="000000"/>
        </w:rPr>
        <w:t>事故发生通报人依通报表联络各单位时，务必注意到通报以最短时间清楚地通知以争取时效，所以通报词即为联络时最为方便的参考，通报者可根据下面格式进行通报。</w:t>
      </w:r>
    </w:p>
    <w:p>
      <w:pPr>
        <w:ind w:firstLine="560"/>
        <w:rPr>
          <w:color w:val="000000"/>
        </w:rPr>
      </w:pPr>
      <w:r>
        <w:rPr>
          <w:rFonts w:hint="eastAsia"/>
          <w:color w:val="000000"/>
        </w:rPr>
        <w:t>通报如下所述：</w:t>
      </w:r>
    </w:p>
    <w:p>
      <w:pPr>
        <w:ind w:firstLine="560"/>
        <w:rPr>
          <w:color w:val="000000"/>
        </w:rPr>
      </w:pPr>
      <w:r>
        <w:rPr>
          <w:color w:val="000000"/>
        </w:rPr>
        <w:t>&lt;1&gt;</w:t>
      </w:r>
      <w:r>
        <w:rPr>
          <w:rFonts w:hint="eastAsia"/>
          <w:color w:val="000000"/>
        </w:rPr>
        <w:t>通</w:t>
      </w:r>
      <w:r>
        <w:rPr>
          <w:color w:val="000000"/>
        </w:rPr>
        <w:t xml:space="preserve"> </w:t>
      </w:r>
      <w:r>
        <w:rPr>
          <w:rFonts w:hint="eastAsia"/>
          <w:color w:val="000000"/>
        </w:rPr>
        <w:t>报</w:t>
      </w:r>
      <w:r>
        <w:rPr>
          <w:color w:val="000000"/>
        </w:rPr>
        <w:t xml:space="preserve"> </w:t>
      </w:r>
      <w:r>
        <w:rPr>
          <w:rFonts w:hint="eastAsia"/>
          <w:color w:val="000000"/>
        </w:rPr>
        <w:t>者：天津海光药业股份有限公司</w:t>
      </w:r>
      <w:r>
        <w:rPr>
          <w:color w:val="000000"/>
        </w:rPr>
        <w:t>___</w:t>
      </w:r>
      <w:r>
        <w:rPr>
          <w:rFonts w:hint="eastAsia"/>
          <w:color w:val="000000"/>
        </w:rPr>
        <w:t xml:space="preserve"> </w:t>
      </w:r>
      <w:r>
        <w:rPr>
          <w:color w:val="000000"/>
        </w:rPr>
        <w:t>_(</w:t>
      </w:r>
      <w:r>
        <w:rPr>
          <w:rFonts w:hint="eastAsia"/>
          <w:color w:val="000000"/>
        </w:rPr>
        <w:t>姓名</w:t>
      </w:r>
      <w:r>
        <w:rPr>
          <w:color w:val="000000"/>
        </w:rPr>
        <w:t>)</w:t>
      </w:r>
      <w:r>
        <w:rPr>
          <w:rFonts w:hint="eastAsia"/>
          <w:color w:val="000000"/>
        </w:rPr>
        <w:t>报告</w:t>
      </w:r>
    </w:p>
    <w:p>
      <w:pPr>
        <w:ind w:firstLine="560"/>
        <w:rPr>
          <w:color w:val="000000"/>
        </w:rPr>
      </w:pPr>
      <w:r>
        <w:rPr>
          <w:color w:val="000000"/>
        </w:rPr>
        <w:t>&lt;2&gt;</w:t>
      </w:r>
      <w:r>
        <w:rPr>
          <w:rFonts w:hint="eastAsia"/>
          <w:color w:val="000000"/>
        </w:rPr>
        <w:t>灾害地点：</w:t>
      </w:r>
      <w:r>
        <w:rPr>
          <w:color w:val="000000"/>
        </w:rPr>
        <w:t>天津经济技术开发区第七大街5号</w:t>
      </w:r>
      <w:r>
        <w:rPr>
          <w:rFonts w:hint="eastAsia"/>
          <w:color w:val="000000"/>
        </w:rPr>
        <w:t>，天津海光药业股份有限公司</w:t>
      </w:r>
    </w:p>
    <w:p>
      <w:pPr>
        <w:ind w:firstLine="560"/>
        <w:rPr>
          <w:color w:val="000000"/>
        </w:rPr>
      </w:pPr>
      <w:r>
        <w:rPr>
          <w:color w:val="000000"/>
        </w:rPr>
        <w:t>&lt;3&gt;</w:t>
      </w:r>
      <w:r>
        <w:rPr>
          <w:rFonts w:hint="eastAsia"/>
          <w:color w:val="000000"/>
        </w:rPr>
        <w:t>时</w:t>
      </w:r>
      <w:r>
        <w:rPr>
          <w:color w:val="000000"/>
        </w:rPr>
        <w:t xml:space="preserve"> </w:t>
      </w:r>
      <w:r>
        <w:rPr>
          <w:rFonts w:hint="eastAsia"/>
          <w:color w:val="000000"/>
        </w:rPr>
        <w:t>间：于</w:t>
      </w:r>
      <w:r>
        <w:rPr>
          <w:color w:val="000000"/>
        </w:rPr>
        <w:t>____</w:t>
      </w:r>
      <w:r>
        <w:rPr>
          <w:rFonts w:hint="eastAsia"/>
          <w:color w:val="000000"/>
        </w:rPr>
        <w:t>日</w:t>
      </w:r>
      <w:r>
        <w:rPr>
          <w:color w:val="000000"/>
        </w:rPr>
        <w:t>_____</w:t>
      </w:r>
      <w:r>
        <w:rPr>
          <w:rFonts w:hint="eastAsia"/>
          <w:color w:val="000000"/>
        </w:rPr>
        <w:t>点</w:t>
      </w:r>
      <w:r>
        <w:rPr>
          <w:color w:val="000000"/>
        </w:rPr>
        <w:t>____</w:t>
      </w:r>
      <w:r>
        <w:rPr>
          <w:rFonts w:hint="eastAsia"/>
          <w:color w:val="000000"/>
        </w:rPr>
        <w:t>分发生</w:t>
      </w:r>
    </w:p>
    <w:p>
      <w:pPr>
        <w:ind w:firstLine="560"/>
        <w:rPr>
          <w:color w:val="000000"/>
        </w:rPr>
      </w:pPr>
      <w:r>
        <w:rPr>
          <w:color w:val="000000"/>
        </w:rPr>
        <w:t>&lt;4&gt;</w:t>
      </w:r>
      <w:r>
        <w:rPr>
          <w:rFonts w:hint="eastAsia"/>
          <w:color w:val="000000"/>
        </w:rPr>
        <w:t>灾害种类：</w:t>
      </w:r>
      <w:r>
        <w:rPr>
          <w:color w:val="000000"/>
        </w:rPr>
        <w:t>_______(</w:t>
      </w:r>
      <w:r>
        <w:rPr>
          <w:rFonts w:hint="eastAsia"/>
          <w:color w:val="000000"/>
        </w:rPr>
        <w:t>火灾，爆炸，泄漏事故</w:t>
      </w:r>
      <w:r>
        <w:rPr>
          <w:color w:val="000000"/>
        </w:rPr>
        <w:t>)</w:t>
      </w:r>
    </w:p>
    <w:p>
      <w:pPr>
        <w:ind w:firstLine="560"/>
        <w:rPr>
          <w:color w:val="000000"/>
        </w:rPr>
      </w:pPr>
      <w:r>
        <w:rPr>
          <w:color w:val="000000"/>
        </w:rPr>
        <w:t>&lt;5&gt;</w:t>
      </w:r>
      <w:r>
        <w:rPr>
          <w:rFonts w:hint="eastAsia"/>
          <w:color w:val="000000"/>
        </w:rPr>
        <w:t>灾害程度：</w:t>
      </w:r>
      <w:r>
        <w:rPr>
          <w:color w:val="000000"/>
        </w:rPr>
        <w:t>________________</w:t>
      </w:r>
      <w:r>
        <w:rPr>
          <w:rFonts w:hint="eastAsia"/>
          <w:color w:val="000000"/>
        </w:rPr>
        <w:t>（污染物的种类数量，已污染的范围）</w:t>
      </w:r>
    </w:p>
    <w:p>
      <w:pPr>
        <w:ind w:firstLine="560"/>
        <w:rPr>
          <w:color w:val="000000"/>
        </w:rPr>
      </w:pPr>
      <w:r>
        <w:rPr>
          <w:color w:val="000000"/>
        </w:rPr>
        <w:t>&lt;6&gt;</w:t>
      </w:r>
      <w:r>
        <w:rPr>
          <w:rFonts w:hint="eastAsia"/>
          <w:color w:val="000000"/>
        </w:rPr>
        <w:t>灾</w:t>
      </w:r>
      <w:r>
        <w:rPr>
          <w:color w:val="000000"/>
        </w:rPr>
        <w:t xml:space="preserve"> </w:t>
      </w:r>
      <w:r>
        <w:rPr>
          <w:rFonts w:hint="eastAsia"/>
          <w:color w:val="000000"/>
        </w:rPr>
        <w:t>情：</w:t>
      </w:r>
      <w:r>
        <w:rPr>
          <w:color w:val="000000"/>
        </w:rPr>
        <w:t>____________________</w:t>
      </w:r>
      <w:r>
        <w:rPr>
          <w:rFonts w:hint="eastAsia"/>
          <w:color w:val="000000"/>
        </w:rPr>
        <w:t>（已造成或则可能造成的人员伤亡情况和初步估计的直接经济损失潜在的危害程度，潜在的危害程度，转化方向趋向，可能受影响区域）</w:t>
      </w:r>
    </w:p>
    <w:p>
      <w:pPr>
        <w:ind w:firstLine="560"/>
        <w:rPr>
          <w:color w:val="000000"/>
        </w:rPr>
      </w:pPr>
      <w:r>
        <w:rPr>
          <w:color w:val="000000"/>
        </w:rPr>
        <w:t>&lt;7&gt;</w:t>
      </w:r>
      <w:r>
        <w:rPr>
          <w:rFonts w:hint="eastAsia"/>
          <w:color w:val="000000"/>
        </w:rPr>
        <w:t>请求支援：请提供</w:t>
      </w:r>
      <w:r>
        <w:rPr>
          <w:color w:val="000000"/>
        </w:rPr>
        <w:t>____</w:t>
      </w:r>
      <w:r>
        <w:rPr>
          <w:rFonts w:hint="eastAsia"/>
          <w:color w:val="000000"/>
        </w:rPr>
        <w:t xml:space="preserve">  </w:t>
      </w:r>
      <w:r>
        <w:rPr>
          <w:color w:val="000000"/>
        </w:rPr>
        <w:t>_____(</w:t>
      </w:r>
      <w:r>
        <w:rPr>
          <w:rFonts w:hint="eastAsia"/>
          <w:color w:val="000000"/>
        </w:rPr>
        <w:t>项目，数量</w:t>
      </w:r>
      <w:r>
        <w:rPr>
          <w:color w:val="000000"/>
        </w:rPr>
        <w:t>)</w:t>
      </w:r>
    </w:p>
    <w:p>
      <w:pPr>
        <w:ind w:firstLine="560"/>
        <w:rPr>
          <w:color w:val="000000"/>
          <w:szCs w:val="24"/>
        </w:rPr>
      </w:pPr>
      <w:r>
        <w:rPr>
          <w:color w:val="000000"/>
        </w:rPr>
        <w:t>&lt;8&gt;</w:t>
      </w:r>
      <w:r>
        <w:rPr>
          <w:rFonts w:hint="eastAsia"/>
          <w:color w:val="000000"/>
        </w:rPr>
        <w:t>联络电话：</w:t>
      </w:r>
      <w:r>
        <w:rPr>
          <w:color w:val="000000"/>
        </w:rPr>
        <w:t>022-25290061</w:t>
      </w:r>
    </w:p>
    <w:p>
      <w:pPr>
        <w:pStyle w:val="5"/>
        <w:rPr>
          <w:color w:val="000000"/>
        </w:rPr>
      </w:pPr>
      <w:r>
        <w:rPr>
          <w:color w:val="000000"/>
        </w:rPr>
        <w:t>6.5.4信息通报</w:t>
      </w:r>
    </w:p>
    <w:p>
      <w:pPr>
        <w:ind w:firstLine="560"/>
        <w:rPr>
          <w:color w:val="000000"/>
        </w:rPr>
      </w:pPr>
      <w:r>
        <w:rPr>
          <w:color w:val="000000"/>
        </w:rPr>
        <w:t>有可能受影响区域的通报工作</w:t>
      </w:r>
    </w:p>
    <w:p>
      <w:pPr>
        <w:ind w:firstLine="560"/>
        <w:rPr>
          <w:color w:val="000000"/>
        </w:rPr>
      </w:pPr>
      <w:r>
        <w:rPr>
          <w:color w:val="000000"/>
        </w:rPr>
        <w:t>（1）通报可能受影响的</w:t>
      </w:r>
      <w:r>
        <w:rPr>
          <w:rFonts w:hint="eastAsia"/>
          <w:color w:val="000000"/>
        </w:rPr>
        <w:t>全体</w:t>
      </w:r>
      <w:r>
        <w:rPr>
          <w:color w:val="000000"/>
        </w:rPr>
        <w:t>职工：生产部、安全部及相关各部门。公司外部：周边企业等，企业外部较近企业联系方式见附件。</w:t>
      </w:r>
    </w:p>
    <w:p>
      <w:pPr>
        <w:ind w:firstLine="560"/>
        <w:rPr>
          <w:color w:val="000000"/>
        </w:rPr>
      </w:pPr>
      <w:r>
        <w:rPr>
          <w:color w:val="000000"/>
        </w:rPr>
        <w:t>（2）通报程序由应急救援指挥部向天津经济技术开发区生态环境局报告后，根据事件发展情况，根据上级要求配合做好相关报告工作。</w:t>
      </w:r>
    </w:p>
    <w:p>
      <w:pPr>
        <w:ind w:firstLine="560"/>
        <w:rPr>
          <w:color w:val="000000"/>
        </w:rPr>
      </w:pPr>
      <w:r>
        <w:rPr>
          <w:color w:val="000000"/>
        </w:rPr>
        <w:t>（3）通报内容发生污染事件的企业名称、联系方式、发生泄漏物的基本特性、可能造成的危害，通报当前污染事件的状况，通知各方做好应急疏散准备，并强调撤离过程中注意事项，组织群众开展自救与互救。</w:t>
      </w:r>
    </w:p>
    <w:p>
      <w:pPr>
        <w:ind w:firstLine="560"/>
        <w:rPr>
          <w:color w:val="000000"/>
        </w:rPr>
      </w:pPr>
      <w:r>
        <w:rPr>
          <w:color w:val="000000"/>
        </w:rPr>
        <w:t>（4）通报方式：电话、广播等。</w:t>
      </w:r>
    </w:p>
    <w:p>
      <w:pPr>
        <w:ind w:firstLine="0" w:firstLineChars="0"/>
        <w:jc w:val="left"/>
        <w:rPr>
          <w:color w:val="000000"/>
          <w:szCs w:val="24"/>
        </w:rPr>
      </w:pPr>
    </w:p>
    <w:p>
      <w:pPr>
        <w:ind w:firstLine="0" w:firstLineChars="0"/>
        <w:rPr>
          <w:color w:val="000000"/>
        </w:rPr>
        <w:sectPr>
          <w:headerReference r:id="rId8" w:type="default"/>
          <w:footerReference r:id="rId9" w:type="default"/>
          <w:pgSz w:w="11906" w:h="16838"/>
          <w:pgMar w:top="1440" w:right="1800" w:bottom="1440" w:left="1800" w:header="851" w:footer="992" w:gutter="0"/>
          <w:cols w:space="720" w:num="1"/>
          <w:docGrid w:type="linesAndChars" w:linePitch="312" w:charSpace="0"/>
        </w:sectPr>
      </w:pPr>
    </w:p>
    <w:p>
      <w:pPr>
        <w:pStyle w:val="3"/>
        <w:rPr>
          <w:color w:val="000000"/>
        </w:rPr>
      </w:pPr>
      <w:bookmarkStart w:id="29" w:name="_Toc120195391"/>
      <w:r>
        <w:rPr>
          <w:color w:val="000000"/>
        </w:rPr>
        <w:t>7应急响应与措施</w:t>
      </w:r>
      <w:bookmarkEnd w:id="29"/>
    </w:p>
    <w:p>
      <w:pPr>
        <w:pStyle w:val="4"/>
        <w:rPr>
          <w:color w:val="000000"/>
        </w:rPr>
      </w:pPr>
      <w:bookmarkStart w:id="30" w:name="_Toc120195392"/>
      <w:r>
        <w:rPr>
          <w:color w:val="000000"/>
        </w:rPr>
        <w:t>7.1分级响应机制</w:t>
      </w:r>
      <w:bookmarkEnd w:id="30"/>
    </w:p>
    <w:p>
      <w:pPr>
        <w:pStyle w:val="5"/>
        <w:rPr>
          <w:color w:val="000000"/>
        </w:rPr>
      </w:pPr>
      <w:r>
        <w:rPr>
          <w:color w:val="000000"/>
        </w:rPr>
        <w:t>7.1.1响应分级</w:t>
      </w:r>
    </w:p>
    <w:p>
      <w:pPr>
        <w:ind w:firstLine="560"/>
        <w:rPr>
          <w:color w:val="000000"/>
        </w:rPr>
      </w:pPr>
      <w:r>
        <w:rPr>
          <w:color w:val="000000"/>
        </w:rPr>
        <w:t>本报告将本公司涉及的突发环境事件级别分为现场级、公司级和区域级。超出本级应急处置能力时，应及时请求上一级启动相关应急预案。当应急事件发生时，</w:t>
      </w:r>
      <w:r>
        <w:rPr>
          <w:rFonts w:hint="eastAsia"/>
          <w:color w:val="000000"/>
        </w:rPr>
        <w:t>发现</w:t>
      </w:r>
      <w:r>
        <w:rPr>
          <w:color w:val="000000"/>
        </w:rPr>
        <w:t>人员马上上报相关上级领导，并由上级领导确定事件的紧急程度、危害程度、影响范围和公司能否自己控制事态，并确定事故的等级，并且按照分级负责的原则，明确应急响应级别，确定不同级别的现场负责人，指挥调度应急处置工作和开展事故处置措施。</w:t>
      </w:r>
    </w:p>
    <w:p>
      <w:pPr>
        <w:ind w:firstLine="560"/>
        <w:rPr>
          <w:color w:val="000000"/>
        </w:rPr>
      </w:pPr>
      <w:r>
        <w:rPr>
          <w:color w:val="000000"/>
        </w:rPr>
        <w:t>本预案涉及的突发环境事件级别划分如下表所示：</w:t>
      </w:r>
    </w:p>
    <w:p>
      <w:pPr>
        <w:ind w:firstLine="0" w:firstLineChars="0"/>
        <w:jc w:val="center"/>
        <w:rPr>
          <w:color w:val="000000"/>
        </w:rPr>
      </w:pPr>
      <w:r>
        <w:rPr>
          <w:color w:val="000000"/>
          <w:szCs w:val="24"/>
        </w:rPr>
        <w:t>表</w:t>
      </w:r>
      <w:r>
        <w:rPr>
          <w:rFonts w:eastAsia="TimesNewRomanPSMT"/>
          <w:color w:val="000000"/>
          <w:szCs w:val="24"/>
        </w:rPr>
        <w:t xml:space="preserve">7.1-1 </w:t>
      </w:r>
      <w:r>
        <w:rPr>
          <w:color w:val="000000"/>
          <w:szCs w:val="24"/>
        </w:rPr>
        <w:t>本预案突发环境事件级别划分</w:t>
      </w:r>
    </w:p>
    <w:tbl>
      <w:tblPr>
        <w:tblStyle w:val="11"/>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2"/>
        <w:gridCol w:w="4117"/>
        <w:gridCol w:w="2147"/>
        <w:gridCol w:w="11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序号</w:t>
            </w:r>
          </w:p>
        </w:tc>
        <w:tc>
          <w:tcPr>
            <w:tcW w:w="4117" w:type="dxa"/>
            <w:noWrap w:val="0"/>
            <w:vAlign w:val="center"/>
          </w:tcPr>
          <w:p>
            <w:pPr>
              <w:spacing w:line="240" w:lineRule="auto"/>
              <w:ind w:firstLine="0" w:firstLineChars="0"/>
              <w:jc w:val="center"/>
              <w:rPr>
                <w:color w:val="000000"/>
                <w:sz w:val="24"/>
                <w:szCs w:val="24"/>
              </w:rPr>
            </w:pPr>
            <w:r>
              <w:rPr>
                <w:color w:val="000000"/>
                <w:sz w:val="24"/>
                <w:szCs w:val="24"/>
              </w:rPr>
              <w:t>事故情形</w:t>
            </w:r>
          </w:p>
        </w:tc>
        <w:tc>
          <w:tcPr>
            <w:tcW w:w="2147" w:type="dxa"/>
            <w:noWrap w:val="0"/>
            <w:vAlign w:val="center"/>
          </w:tcPr>
          <w:p>
            <w:pPr>
              <w:spacing w:line="240" w:lineRule="auto"/>
              <w:ind w:firstLine="0" w:firstLineChars="0"/>
              <w:jc w:val="center"/>
              <w:rPr>
                <w:color w:val="000000"/>
                <w:sz w:val="24"/>
                <w:szCs w:val="24"/>
              </w:rPr>
            </w:pPr>
            <w:r>
              <w:rPr>
                <w:color w:val="000000"/>
                <w:sz w:val="24"/>
                <w:szCs w:val="24"/>
              </w:rPr>
              <w:t>突发环境事件级别</w:t>
            </w:r>
          </w:p>
        </w:tc>
        <w:tc>
          <w:tcPr>
            <w:tcW w:w="1168" w:type="dxa"/>
            <w:noWrap w:val="0"/>
            <w:vAlign w:val="center"/>
          </w:tcPr>
          <w:p>
            <w:pPr>
              <w:spacing w:line="240" w:lineRule="auto"/>
              <w:ind w:firstLine="0" w:firstLineChars="0"/>
              <w:jc w:val="center"/>
              <w:rPr>
                <w:color w:val="000000"/>
                <w:sz w:val="24"/>
                <w:szCs w:val="24"/>
              </w:rPr>
            </w:pPr>
            <w:r>
              <w:rPr>
                <w:color w:val="000000"/>
                <w:sz w:val="24"/>
                <w:szCs w:val="24"/>
              </w:rPr>
              <w:t>应急响应级别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1</w:t>
            </w:r>
          </w:p>
        </w:tc>
        <w:tc>
          <w:tcPr>
            <w:tcW w:w="4117" w:type="dxa"/>
            <w:noWrap w:val="0"/>
            <w:vAlign w:val="center"/>
          </w:tcPr>
          <w:p>
            <w:pPr>
              <w:spacing w:line="240" w:lineRule="auto"/>
              <w:ind w:firstLine="0" w:firstLineChars="0"/>
              <w:rPr>
                <w:color w:val="000000"/>
                <w:sz w:val="24"/>
                <w:szCs w:val="24"/>
              </w:rPr>
            </w:pPr>
            <w:r>
              <w:rPr>
                <w:color w:val="000000"/>
                <w:sz w:val="24"/>
                <w:szCs w:val="24"/>
              </w:rPr>
              <w:t>制药二车间内的电热油炉中热煤油泄漏后遇明火引发火灾，火势较大，公司应急指挥部无法对火势进行有效控制，</w:t>
            </w:r>
            <w:r>
              <w:rPr>
                <w:rFonts w:hint="eastAsia"/>
                <w:color w:val="000000"/>
                <w:sz w:val="24"/>
                <w:szCs w:val="24"/>
              </w:rPr>
              <w:t>需要由外部的消防、医疗的应急救援中心来支持。</w:t>
            </w:r>
          </w:p>
        </w:tc>
        <w:tc>
          <w:tcPr>
            <w:tcW w:w="2147" w:type="dxa"/>
            <w:vMerge w:val="restart"/>
            <w:noWrap w:val="0"/>
            <w:vAlign w:val="center"/>
          </w:tcPr>
          <w:p>
            <w:pPr>
              <w:spacing w:line="240" w:lineRule="auto"/>
              <w:ind w:firstLine="0" w:firstLineChars="0"/>
              <w:jc w:val="center"/>
              <w:rPr>
                <w:color w:val="000000"/>
                <w:sz w:val="24"/>
                <w:szCs w:val="24"/>
              </w:rPr>
            </w:pPr>
            <w:r>
              <w:rPr>
                <w:color w:val="000000"/>
                <w:sz w:val="24"/>
                <w:szCs w:val="24"/>
              </w:rPr>
              <w:t>区域级</w:t>
            </w:r>
          </w:p>
        </w:tc>
        <w:tc>
          <w:tcPr>
            <w:tcW w:w="1168" w:type="dxa"/>
            <w:vMerge w:val="restart"/>
            <w:noWrap w:val="0"/>
            <w:vAlign w:val="center"/>
          </w:tcPr>
          <w:p>
            <w:pPr>
              <w:spacing w:line="240" w:lineRule="auto"/>
              <w:ind w:firstLine="0" w:firstLineChars="0"/>
              <w:jc w:val="center"/>
              <w:rPr>
                <w:color w:val="000000"/>
                <w:sz w:val="24"/>
                <w:szCs w:val="24"/>
              </w:rPr>
            </w:pPr>
            <w:r>
              <w:rPr>
                <w:color w:val="000000"/>
                <w:sz w:val="24"/>
                <w:szCs w:val="24"/>
              </w:rPr>
              <w:t>一级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2</w:t>
            </w:r>
          </w:p>
        </w:tc>
        <w:tc>
          <w:tcPr>
            <w:tcW w:w="4117" w:type="dxa"/>
            <w:noWrap w:val="0"/>
            <w:vAlign w:val="center"/>
          </w:tcPr>
          <w:p>
            <w:pPr>
              <w:spacing w:line="240" w:lineRule="auto"/>
              <w:ind w:firstLine="0" w:firstLineChars="0"/>
              <w:rPr>
                <w:color w:val="000000"/>
                <w:sz w:val="24"/>
                <w:szCs w:val="24"/>
              </w:rPr>
            </w:pPr>
            <w:r>
              <w:rPr>
                <w:color w:val="000000"/>
                <w:sz w:val="24"/>
                <w:szCs w:val="24"/>
              </w:rPr>
              <w:t>下雨时，室外运输过程发生危险化学品等物料大量泄漏，厂区雨水总排口处雨水截止阀为开启状态，泄漏物料有可能经雨水总排口流出厂区，需要由外部的雨水泵站、经开区生态环境局、政府部门及其有关部门来支援。</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3</w:t>
            </w:r>
          </w:p>
        </w:tc>
        <w:tc>
          <w:tcPr>
            <w:tcW w:w="4117" w:type="dxa"/>
            <w:noWrap w:val="0"/>
            <w:vAlign w:val="center"/>
          </w:tcPr>
          <w:p>
            <w:pPr>
              <w:spacing w:line="240" w:lineRule="auto"/>
              <w:ind w:firstLine="0" w:firstLineChars="0"/>
              <w:rPr>
                <w:color w:val="000000"/>
                <w:sz w:val="24"/>
                <w:szCs w:val="24"/>
              </w:rPr>
            </w:pPr>
            <w:r>
              <w:rPr>
                <w:color w:val="000000"/>
                <w:sz w:val="24"/>
                <w:szCs w:val="24"/>
              </w:rPr>
              <w:t>制药二车间内的电热油炉中热煤油泄漏后遇明火引发火灾，火势需启用消防栓灭火，消防废水控制在</w:t>
            </w:r>
            <w:r>
              <w:rPr>
                <w:rFonts w:hint="eastAsia"/>
                <w:color w:val="000000"/>
                <w:sz w:val="24"/>
                <w:szCs w:val="24"/>
              </w:rPr>
              <w:t>车间</w:t>
            </w:r>
            <w:r>
              <w:rPr>
                <w:color w:val="000000"/>
                <w:sz w:val="24"/>
                <w:szCs w:val="24"/>
              </w:rPr>
              <w:t>内。</w:t>
            </w:r>
          </w:p>
        </w:tc>
        <w:tc>
          <w:tcPr>
            <w:tcW w:w="2147" w:type="dxa"/>
            <w:vMerge w:val="restart"/>
            <w:noWrap w:val="0"/>
            <w:vAlign w:val="center"/>
          </w:tcPr>
          <w:p>
            <w:pPr>
              <w:spacing w:line="240" w:lineRule="auto"/>
              <w:ind w:firstLine="0" w:firstLineChars="0"/>
              <w:jc w:val="center"/>
              <w:rPr>
                <w:color w:val="000000"/>
                <w:sz w:val="24"/>
                <w:szCs w:val="24"/>
              </w:rPr>
            </w:pPr>
            <w:r>
              <w:rPr>
                <w:color w:val="000000"/>
                <w:sz w:val="24"/>
                <w:szCs w:val="24"/>
              </w:rPr>
              <w:t>公司级</w:t>
            </w:r>
          </w:p>
        </w:tc>
        <w:tc>
          <w:tcPr>
            <w:tcW w:w="1168" w:type="dxa"/>
            <w:vMerge w:val="restart"/>
            <w:noWrap w:val="0"/>
            <w:vAlign w:val="center"/>
          </w:tcPr>
          <w:p>
            <w:pPr>
              <w:spacing w:line="240" w:lineRule="auto"/>
              <w:ind w:firstLine="0" w:firstLineChars="0"/>
              <w:jc w:val="center"/>
              <w:rPr>
                <w:color w:val="000000"/>
                <w:sz w:val="24"/>
                <w:szCs w:val="24"/>
              </w:rPr>
            </w:pPr>
            <w:r>
              <w:rPr>
                <w:color w:val="000000"/>
                <w:sz w:val="24"/>
                <w:szCs w:val="24"/>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4</w:t>
            </w:r>
          </w:p>
        </w:tc>
        <w:tc>
          <w:tcPr>
            <w:tcW w:w="4117" w:type="dxa"/>
            <w:noWrap w:val="0"/>
            <w:vAlign w:val="center"/>
          </w:tcPr>
          <w:p>
            <w:pPr>
              <w:spacing w:line="240" w:lineRule="auto"/>
              <w:ind w:firstLine="0" w:firstLineChars="0"/>
              <w:rPr>
                <w:color w:val="000000"/>
                <w:sz w:val="24"/>
                <w:szCs w:val="24"/>
              </w:rPr>
            </w:pPr>
            <w:r>
              <w:rPr>
                <w:rFonts w:hint="eastAsia"/>
                <w:color w:val="000000"/>
                <w:sz w:val="24"/>
                <w:szCs w:val="24"/>
              </w:rPr>
              <w:t>烧碱罐区烧碱储罐发生泄漏，或</w:t>
            </w:r>
            <w:r>
              <w:rPr>
                <w:color w:val="000000"/>
                <w:sz w:val="24"/>
                <w:szCs w:val="24"/>
              </w:rPr>
              <w:t>烧碱接驳过程发生泄漏，若未能及时停泵关闸，导致烧碱液体大量泄漏，在围堰内形成液池</w:t>
            </w:r>
            <w:r>
              <w:rPr>
                <w:rFonts w:hint="eastAsia"/>
                <w:color w:val="000000"/>
                <w:sz w:val="24"/>
                <w:szCs w:val="24"/>
              </w:rPr>
              <w:t>，泄漏物料控制在厂区内。</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5</w:t>
            </w:r>
          </w:p>
        </w:tc>
        <w:tc>
          <w:tcPr>
            <w:tcW w:w="4117" w:type="dxa"/>
            <w:noWrap w:val="0"/>
            <w:vAlign w:val="center"/>
          </w:tcPr>
          <w:p>
            <w:pPr>
              <w:spacing w:line="240" w:lineRule="auto"/>
              <w:ind w:firstLine="0" w:firstLineChars="0"/>
              <w:rPr>
                <w:color w:val="000000"/>
                <w:sz w:val="24"/>
                <w:szCs w:val="24"/>
              </w:rPr>
            </w:pPr>
            <w:r>
              <w:rPr>
                <w:color w:val="000000"/>
                <w:sz w:val="24"/>
                <w:szCs w:val="24"/>
              </w:rPr>
              <w:t>室外装置区</w:t>
            </w:r>
            <w:r>
              <w:rPr>
                <w:rFonts w:hint="eastAsia"/>
                <w:color w:val="000000"/>
                <w:sz w:val="24"/>
                <w:szCs w:val="24"/>
              </w:rPr>
              <w:t>（碳化区）</w:t>
            </w:r>
            <w:r>
              <w:rPr>
                <w:color w:val="000000"/>
                <w:sz w:val="24"/>
                <w:szCs w:val="24"/>
              </w:rPr>
              <w:t>发生泄漏</w:t>
            </w:r>
            <w:r>
              <w:rPr>
                <w:rFonts w:hint="eastAsia"/>
                <w:color w:val="000000"/>
                <w:sz w:val="24"/>
                <w:szCs w:val="24"/>
              </w:rPr>
              <w:t>，地面设置导流沟，且设置2处截止阀关闭，</w:t>
            </w:r>
            <w:r>
              <w:rPr>
                <w:color w:val="000000"/>
                <w:sz w:val="24"/>
                <w:szCs w:val="24"/>
              </w:rPr>
              <w:t>发生泄漏时，</w:t>
            </w:r>
            <w:r>
              <w:rPr>
                <w:rFonts w:hint="eastAsia"/>
                <w:color w:val="000000"/>
                <w:sz w:val="24"/>
                <w:szCs w:val="24"/>
              </w:rPr>
              <w:t>物料</w:t>
            </w:r>
            <w:r>
              <w:rPr>
                <w:color w:val="000000"/>
                <w:sz w:val="24"/>
                <w:szCs w:val="24"/>
              </w:rPr>
              <w:t>泄漏在环形导流沟内。</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rFonts w:hint="eastAsia"/>
                <w:color w:val="000000"/>
                <w:sz w:val="24"/>
                <w:szCs w:val="24"/>
              </w:rPr>
              <w:t>6</w:t>
            </w:r>
          </w:p>
        </w:tc>
        <w:tc>
          <w:tcPr>
            <w:tcW w:w="4117" w:type="dxa"/>
            <w:noWrap w:val="0"/>
            <w:vAlign w:val="center"/>
          </w:tcPr>
          <w:p>
            <w:pPr>
              <w:spacing w:line="240" w:lineRule="auto"/>
              <w:ind w:firstLine="0" w:firstLineChars="0"/>
              <w:rPr>
                <w:color w:val="000000"/>
                <w:sz w:val="24"/>
                <w:szCs w:val="24"/>
              </w:rPr>
            </w:pPr>
            <w:r>
              <w:rPr>
                <w:color w:val="000000"/>
                <w:sz w:val="24"/>
                <w:szCs w:val="24"/>
              </w:rPr>
              <w:t>制药一车间内、制药二车间外的盐酸储槽在</w:t>
            </w:r>
            <w:r>
              <w:rPr>
                <w:rFonts w:hint="eastAsia"/>
                <w:color w:val="000000"/>
                <w:sz w:val="24"/>
                <w:szCs w:val="24"/>
              </w:rPr>
              <w:t>接驳</w:t>
            </w:r>
            <w:r>
              <w:rPr>
                <w:color w:val="000000"/>
                <w:sz w:val="24"/>
                <w:szCs w:val="24"/>
              </w:rPr>
              <w:t>过程发生泄漏，若未能及时停泵关闸</w:t>
            </w:r>
            <w:r>
              <w:rPr>
                <w:rFonts w:hint="eastAsia"/>
                <w:color w:val="000000"/>
                <w:sz w:val="24"/>
                <w:szCs w:val="24"/>
              </w:rPr>
              <w:t>，</w:t>
            </w:r>
            <w:r>
              <w:rPr>
                <w:color w:val="000000"/>
                <w:sz w:val="24"/>
                <w:szCs w:val="24"/>
              </w:rPr>
              <w:t>导致盐酸大量泄漏，采用消防沙袋进行围堵，且周边封堵雨水口，泄漏物料控制在厂区内。</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rFonts w:hint="eastAsia"/>
                <w:color w:val="000000"/>
                <w:sz w:val="24"/>
                <w:szCs w:val="24"/>
              </w:rPr>
              <w:t>7</w:t>
            </w:r>
          </w:p>
        </w:tc>
        <w:tc>
          <w:tcPr>
            <w:tcW w:w="4117" w:type="dxa"/>
            <w:noWrap w:val="0"/>
            <w:vAlign w:val="center"/>
          </w:tcPr>
          <w:p>
            <w:pPr>
              <w:spacing w:line="240" w:lineRule="auto"/>
              <w:ind w:firstLine="0" w:firstLineChars="0"/>
              <w:rPr>
                <w:color w:val="000000"/>
                <w:sz w:val="24"/>
                <w:szCs w:val="24"/>
              </w:rPr>
            </w:pPr>
            <w:r>
              <w:rPr>
                <w:color w:val="000000"/>
                <w:sz w:val="24"/>
                <w:szCs w:val="24"/>
              </w:rPr>
              <w:t>制药二车间内的电热油炉中热煤油发生大量泄漏，</w:t>
            </w:r>
            <w:r>
              <w:rPr>
                <w:rFonts w:hint="eastAsia"/>
                <w:color w:val="000000"/>
                <w:sz w:val="24"/>
                <w:szCs w:val="24"/>
              </w:rPr>
              <w:t>采用消防沙袋进行围堵，且及时采用沙袋封堵地面导流槽</w:t>
            </w:r>
            <w:r>
              <w:rPr>
                <w:color w:val="000000"/>
                <w:sz w:val="24"/>
                <w:szCs w:val="24"/>
              </w:rPr>
              <w:t>，泄漏物料控制在车间内</w:t>
            </w:r>
            <w:r>
              <w:rPr>
                <w:rFonts w:hint="eastAsia"/>
                <w:color w:val="000000"/>
                <w:sz w:val="24"/>
                <w:szCs w:val="24"/>
              </w:rPr>
              <w:t>。</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rFonts w:hint="eastAsia"/>
                <w:color w:val="000000"/>
                <w:sz w:val="24"/>
                <w:szCs w:val="24"/>
              </w:rPr>
              <w:t>8</w:t>
            </w:r>
          </w:p>
        </w:tc>
        <w:tc>
          <w:tcPr>
            <w:tcW w:w="4117" w:type="dxa"/>
            <w:noWrap w:val="0"/>
            <w:vAlign w:val="center"/>
          </w:tcPr>
          <w:p>
            <w:pPr>
              <w:spacing w:line="240" w:lineRule="auto"/>
              <w:ind w:firstLine="0" w:firstLineChars="0"/>
              <w:rPr>
                <w:color w:val="000000"/>
                <w:sz w:val="24"/>
                <w:szCs w:val="24"/>
              </w:rPr>
            </w:pPr>
            <w:r>
              <w:rPr>
                <w:color w:val="000000"/>
                <w:sz w:val="24"/>
                <w:szCs w:val="24"/>
              </w:rPr>
              <w:t>室外运输过程危险化学品发生泄漏，采用消防沙袋进行围堵泄漏物料，且封堵周边雨水口，厂区雨水总排口处雨水截止阀关闭，不会超出企业</w:t>
            </w:r>
            <w:r>
              <w:rPr>
                <w:rFonts w:hint="eastAsia"/>
                <w:color w:val="000000"/>
                <w:sz w:val="24"/>
                <w:szCs w:val="24"/>
              </w:rPr>
              <w:t>厂</w:t>
            </w:r>
            <w:r>
              <w:rPr>
                <w:color w:val="000000"/>
                <w:sz w:val="24"/>
                <w:szCs w:val="24"/>
              </w:rPr>
              <w:t>界。</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rFonts w:hint="eastAsia"/>
                <w:color w:val="000000"/>
                <w:sz w:val="24"/>
                <w:szCs w:val="24"/>
              </w:rPr>
              <w:t>9</w:t>
            </w:r>
          </w:p>
        </w:tc>
        <w:tc>
          <w:tcPr>
            <w:tcW w:w="4117" w:type="dxa"/>
            <w:noWrap w:val="0"/>
            <w:vAlign w:val="center"/>
          </w:tcPr>
          <w:p>
            <w:pPr>
              <w:spacing w:line="240" w:lineRule="auto"/>
              <w:ind w:firstLine="0" w:firstLineChars="0"/>
              <w:rPr>
                <w:color w:val="000000"/>
                <w:sz w:val="24"/>
                <w:szCs w:val="24"/>
              </w:rPr>
            </w:pPr>
            <w:r>
              <w:rPr>
                <w:color w:val="000000"/>
                <w:sz w:val="24"/>
                <w:szCs w:val="24"/>
              </w:rPr>
              <w:t>制药二车间内的电热油炉中热煤油泄漏后遇明火引发火灾，初期火灾时，火势较小，现场人员可采用干粉灭火器进行</w:t>
            </w:r>
            <w:r>
              <w:rPr>
                <w:rFonts w:hint="eastAsia"/>
                <w:color w:val="000000"/>
                <w:sz w:val="24"/>
                <w:szCs w:val="24"/>
              </w:rPr>
              <w:t>扑救</w:t>
            </w:r>
            <w:r>
              <w:rPr>
                <w:color w:val="000000"/>
                <w:sz w:val="24"/>
                <w:szCs w:val="24"/>
              </w:rPr>
              <w:t>，灭火结束后，用铁锹收集废干粉等废物，集中收集至应急桶中，作为危废处理，可控制在厂区内。</w:t>
            </w:r>
          </w:p>
        </w:tc>
        <w:tc>
          <w:tcPr>
            <w:tcW w:w="2147" w:type="dxa"/>
            <w:vMerge w:val="restart"/>
            <w:noWrap w:val="0"/>
            <w:vAlign w:val="center"/>
          </w:tcPr>
          <w:p>
            <w:pPr>
              <w:spacing w:line="240" w:lineRule="auto"/>
              <w:ind w:firstLine="0" w:firstLineChars="0"/>
              <w:jc w:val="center"/>
              <w:rPr>
                <w:color w:val="000000"/>
                <w:sz w:val="24"/>
                <w:szCs w:val="24"/>
              </w:rPr>
            </w:pPr>
            <w:r>
              <w:rPr>
                <w:color w:val="000000"/>
                <w:sz w:val="24"/>
                <w:szCs w:val="24"/>
              </w:rPr>
              <w:t>现场级</w:t>
            </w:r>
          </w:p>
        </w:tc>
        <w:tc>
          <w:tcPr>
            <w:tcW w:w="1168" w:type="dxa"/>
            <w:vMerge w:val="restart"/>
            <w:noWrap w:val="0"/>
            <w:vAlign w:val="center"/>
          </w:tcPr>
          <w:p>
            <w:pPr>
              <w:spacing w:line="240" w:lineRule="auto"/>
              <w:ind w:firstLine="0" w:firstLineChars="0"/>
              <w:jc w:val="center"/>
              <w:rPr>
                <w:color w:val="000000"/>
                <w:sz w:val="24"/>
                <w:szCs w:val="24"/>
              </w:rPr>
            </w:pPr>
            <w:r>
              <w:rPr>
                <w:color w:val="000000"/>
                <w:sz w:val="24"/>
                <w:szCs w:val="24"/>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rFonts w:hint="eastAsia"/>
                <w:color w:val="000000"/>
                <w:sz w:val="24"/>
                <w:szCs w:val="24"/>
              </w:rPr>
              <w:t>10</w:t>
            </w:r>
          </w:p>
        </w:tc>
        <w:tc>
          <w:tcPr>
            <w:tcW w:w="4117" w:type="dxa"/>
            <w:noWrap w:val="0"/>
            <w:vAlign w:val="center"/>
          </w:tcPr>
          <w:p>
            <w:pPr>
              <w:spacing w:line="240" w:lineRule="auto"/>
              <w:ind w:firstLine="0" w:firstLineChars="0"/>
              <w:rPr>
                <w:color w:val="000000"/>
                <w:sz w:val="24"/>
                <w:szCs w:val="24"/>
              </w:rPr>
            </w:pPr>
            <w:r>
              <w:rPr>
                <w:rFonts w:hint="eastAsia"/>
                <w:color w:val="000000"/>
                <w:sz w:val="24"/>
                <w:szCs w:val="24"/>
              </w:rPr>
              <w:t>烧碱</w:t>
            </w:r>
            <w:r>
              <w:rPr>
                <w:color w:val="000000"/>
                <w:sz w:val="24"/>
                <w:szCs w:val="24"/>
              </w:rPr>
              <w:t>储罐区在接驳过程发生泄漏，</w:t>
            </w:r>
            <w:r>
              <w:rPr>
                <w:rFonts w:hint="eastAsia"/>
                <w:color w:val="000000"/>
                <w:sz w:val="24"/>
                <w:szCs w:val="24"/>
              </w:rPr>
              <w:t>现场监护人员及时切断应急阀，</w:t>
            </w:r>
            <w:r>
              <w:rPr>
                <w:color w:val="000000"/>
                <w:sz w:val="24"/>
                <w:szCs w:val="24"/>
              </w:rPr>
              <w:t>泄漏量较少</w:t>
            </w:r>
            <w:r>
              <w:rPr>
                <w:rFonts w:hint="eastAsia"/>
                <w:color w:val="000000"/>
                <w:sz w:val="24"/>
                <w:szCs w:val="24"/>
              </w:rPr>
              <w:t>，且</w:t>
            </w:r>
            <w:r>
              <w:rPr>
                <w:color w:val="000000"/>
                <w:sz w:val="24"/>
                <w:szCs w:val="24"/>
              </w:rPr>
              <w:t>在围堰的接收池内收集，采用消防进行吸附，集中收集到应急桶内，作为危废处理，泄漏物料可控制在围堰内</w:t>
            </w:r>
            <w:r>
              <w:rPr>
                <w:rFonts w:hint="eastAsia"/>
                <w:color w:val="000000"/>
                <w:sz w:val="24"/>
                <w:szCs w:val="24"/>
              </w:rPr>
              <w:t>，</w:t>
            </w:r>
            <w:r>
              <w:rPr>
                <w:color w:val="000000"/>
                <w:sz w:val="24"/>
                <w:szCs w:val="24"/>
              </w:rPr>
              <w:t>现场人员即可处置。</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1</w:t>
            </w:r>
            <w:r>
              <w:rPr>
                <w:rFonts w:hint="eastAsia"/>
                <w:color w:val="000000"/>
                <w:sz w:val="24"/>
                <w:szCs w:val="24"/>
              </w:rPr>
              <w:t>1</w:t>
            </w:r>
          </w:p>
        </w:tc>
        <w:tc>
          <w:tcPr>
            <w:tcW w:w="4117" w:type="dxa"/>
            <w:noWrap w:val="0"/>
            <w:vAlign w:val="center"/>
          </w:tcPr>
          <w:p>
            <w:pPr>
              <w:spacing w:line="240" w:lineRule="auto"/>
              <w:ind w:firstLine="0" w:firstLineChars="0"/>
              <w:rPr>
                <w:color w:val="000000"/>
                <w:sz w:val="24"/>
                <w:szCs w:val="24"/>
              </w:rPr>
            </w:pPr>
            <w:r>
              <w:rPr>
                <w:color w:val="000000"/>
                <w:sz w:val="24"/>
                <w:szCs w:val="24"/>
              </w:rPr>
              <w:t>制药一车间内、制药二车间外的盐酸储槽在接驳过程发生泄漏，</w:t>
            </w:r>
            <w:r>
              <w:rPr>
                <w:rFonts w:hint="eastAsia"/>
                <w:color w:val="000000"/>
                <w:sz w:val="24"/>
                <w:szCs w:val="24"/>
              </w:rPr>
              <w:t>现场监护人员及时切断应急阀，</w:t>
            </w:r>
            <w:r>
              <w:rPr>
                <w:color w:val="000000"/>
                <w:sz w:val="24"/>
                <w:szCs w:val="24"/>
              </w:rPr>
              <w:t>泄漏量较少</w:t>
            </w:r>
            <w:r>
              <w:rPr>
                <w:rFonts w:hint="eastAsia"/>
                <w:color w:val="000000"/>
                <w:sz w:val="24"/>
                <w:szCs w:val="24"/>
              </w:rPr>
              <w:t>，且及时采用消防沙袋进行围堵、封堵周边雨水口，泄漏</w:t>
            </w:r>
            <w:r>
              <w:rPr>
                <w:color w:val="000000"/>
                <w:sz w:val="24"/>
                <w:szCs w:val="24"/>
              </w:rPr>
              <w:t>的盐酸控制在厂区内，现场人员即可处置。</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1</w:t>
            </w:r>
            <w:r>
              <w:rPr>
                <w:rFonts w:hint="eastAsia"/>
                <w:color w:val="000000"/>
                <w:sz w:val="24"/>
                <w:szCs w:val="24"/>
              </w:rPr>
              <w:t>2</w:t>
            </w:r>
          </w:p>
        </w:tc>
        <w:tc>
          <w:tcPr>
            <w:tcW w:w="4117" w:type="dxa"/>
            <w:noWrap w:val="0"/>
            <w:vAlign w:val="center"/>
          </w:tcPr>
          <w:p>
            <w:pPr>
              <w:spacing w:line="240" w:lineRule="auto"/>
              <w:ind w:firstLine="0" w:firstLineChars="0"/>
              <w:rPr>
                <w:color w:val="000000"/>
                <w:sz w:val="24"/>
                <w:szCs w:val="24"/>
              </w:rPr>
            </w:pPr>
            <w:r>
              <w:rPr>
                <w:color w:val="000000"/>
                <w:sz w:val="24"/>
                <w:szCs w:val="24"/>
              </w:rPr>
              <w:t>制药一生产车间</w:t>
            </w:r>
            <w:r>
              <w:rPr>
                <w:rFonts w:hint="eastAsia"/>
                <w:color w:val="000000"/>
                <w:sz w:val="24"/>
                <w:szCs w:val="24"/>
              </w:rPr>
              <w:t>、</w:t>
            </w:r>
            <w:r>
              <w:rPr>
                <w:color w:val="000000"/>
                <w:sz w:val="24"/>
                <w:szCs w:val="24"/>
              </w:rPr>
              <w:t>制药二生产车间内安装监控及报警系统，中控室24小时值守，显示器内能监控液位及设备、管道泄漏情况，并且DCS自动控制系统中设置液位报警。若管道接口发生泄漏，显示器提示</w:t>
            </w:r>
            <w:r>
              <w:rPr>
                <w:rFonts w:hint="eastAsia"/>
                <w:color w:val="000000"/>
                <w:sz w:val="24"/>
                <w:szCs w:val="24"/>
              </w:rPr>
              <w:t>泄漏点</w:t>
            </w:r>
            <w:r>
              <w:rPr>
                <w:color w:val="000000"/>
                <w:sz w:val="24"/>
                <w:szCs w:val="24"/>
              </w:rPr>
              <w:t>，中控室人员及时通知现场人员</w:t>
            </w:r>
            <w:r>
              <w:rPr>
                <w:rFonts w:hint="eastAsia"/>
                <w:color w:val="000000"/>
                <w:sz w:val="24"/>
                <w:szCs w:val="24"/>
              </w:rPr>
              <w:t>关闭</w:t>
            </w:r>
            <w:r>
              <w:rPr>
                <w:color w:val="000000"/>
                <w:sz w:val="24"/>
                <w:szCs w:val="24"/>
              </w:rPr>
              <w:t>阀门，及时切断泄漏源</w:t>
            </w:r>
            <w:r>
              <w:rPr>
                <w:rFonts w:hint="eastAsia"/>
                <w:color w:val="000000"/>
                <w:sz w:val="24"/>
                <w:szCs w:val="24"/>
              </w:rPr>
              <w:t>，泄漏量较小，</w:t>
            </w:r>
            <w:r>
              <w:rPr>
                <w:color w:val="000000"/>
                <w:sz w:val="24"/>
                <w:szCs w:val="24"/>
              </w:rPr>
              <w:t>泄漏物料可控制在车间内</w:t>
            </w:r>
            <w:r>
              <w:rPr>
                <w:rFonts w:hint="eastAsia"/>
                <w:color w:val="000000"/>
                <w:sz w:val="24"/>
                <w:szCs w:val="24"/>
              </w:rPr>
              <w:t>，现场人员即可处置</w:t>
            </w:r>
            <w:r>
              <w:rPr>
                <w:color w:val="000000"/>
                <w:sz w:val="24"/>
                <w:szCs w:val="24"/>
              </w:rPr>
              <w:t>。</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1</w:t>
            </w:r>
            <w:r>
              <w:rPr>
                <w:rFonts w:hint="eastAsia"/>
                <w:color w:val="000000"/>
                <w:sz w:val="24"/>
                <w:szCs w:val="24"/>
              </w:rPr>
              <w:t>3</w:t>
            </w:r>
          </w:p>
        </w:tc>
        <w:tc>
          <w:tcPr>
            <w:tcW w:w="4117" w:type="dxa"/>
            <w:noWrap w:val="0"/>
            <w:vAlign w:val="center"/>
          </w:tcPr>
          <w:p>
            <w:pPr>
              <w:spacing w:line="240" w:lineRule="auto"/>
              <w:ind w:firstLine="0" w:firstLineChars="0"/>
              <w:rPr>
                <w:color w:val="000000"/>
                <w:sz w:val="24"/>
                <w:szCs w:val="24"/>
              </w:rPr>
            </w:pPr>
            <w:r>
              <w:rPr>
                <w:color w:val="000000"/>
                <w:sz w:val="24"/>
                <w:szCs w:val="24"/>
              </w:rPr>
              <w:t>制药二车间内的电热油炉中热煤油发生</w:t>
            </w:r>
            <w:r>
              <w:rPr>
                <w:rFonts w:hint="eastAsia"/>
                <w:color w:val="000000"/>
                <w:sz w:val="24"/>
                <w:szCs w:val="24"/>
              </w:rPr>
              <w:t>少量</w:t>
            </w:r>
            <w:r>
              <w:rPr>
                <w:color w:val="000000"/>
                <w:sz w:val="24"/>
                <w:szCs w:val="24"/>
              </w:rPr>
              <w:t>泄漏，现场人员</w:t>
            </w:r>
            <w:r>
              <w:rPr>
                <w:rFonts w:hint="eastAsia"/>
                <w:color w:val="000000"/>
                <w:sz w:val="24"/>
                <w:szCs w:val="24"/>
              </w:rPr>
              <w:t>采用消防沙进行吸附</w:t>
            </w:r>
            <w:r>
              <w:rPr>
                <w:color w:val="000000"/>
                <w:sz w:val="24"/>
                <w:szCs w:val="24"/>
              </w:rPr>
              <w:t>，集中收集到应急桶内，作为危废处理，泄漏物料控制在车间内。</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1</w:t>
            </w:r>
            <w:r>
              <w:rPr>
                <w:rFonts w:hint="eastAsia"/>
                <w:color w:val="000000"/>
                <w:sz w:val="24"/>
                <w:szCs w:val="24"/>
              </w:rPr>
              <w:t>4</w:t>
            </w:r>
          </w:p>
        </w:tc>
        <w:tc>
          <w:tcPr>
            <w:tcW w:w="4117" w:type="dxa"/>
            <w:noWrap w:val="0"/>
            <w:vAlign w:val="center"/>
          </w:tcPr>
          <w:p>
            <w:pPr>
              <w:spacing w:line="240" w:lineRule="auto"/>
              <w:ind w:firstLine="0" w:firstLineChars="0"/>
              <w:rPr>
                <w:color w:val="000000"/>
                <w:sz w:val="24"/>
                <w:szCs w:val="24"/>
              </w:rPr>
            </w:pPr>
            <w:r>
              <w:rPr>
                <w:color w:val="000000"/>
                <w:sz w:val="24"/>
                <w:szCs w:val="24"/>
              </w:rPr>
              <w:t>危废暂存间内的废油存放桶破损发生泄漏，泄漏量较小，可控制在危废暂存间内。</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rFonts w:hint="eastAsia"/>
                <w:color w:val="000000"/>
                <w:sz w:val="24"/>
                <w:szCs w:val="24"/>
              </w:rPr>
              <w:t>15</w:t>
            </w:r>
          </w:p>
        </w:tc>
        <w:tc>
          <w:tcPr>
            <w:tcW w:w="4117" w:type="dxa"/>
            <w:noWrap w:val="0"/>
            <w:vAlign w:val="center"/>
          </w:tcPr>
          <w:p>
            <w:pPr>
              <w:spacing w:line="240" w:lineRule="auto"/>
              <w:ind w:firstLine="0" w:firstLineChars="0"/>
              <w:rPr>
                <w:color w:val="000000"/>
                <w:sz w:val="24"/>
                <w:szCs w:val="24"/>
              </w:rPr>
            </w:pPr>
            <w:r>
              <w:rPr>
                <w:color w:val="000000"/>
                <w:sz w:val="24"/>
                <w:szCs w:val="24"/>
              </w:rPr>
              <w:t>危废暂存间内的废油泄漏</w:t>
            </w:r>
            <w:r>
              <w:rPr>
                <w:rFonts w:hint="eastAsia"/>
                <w:color w:val="000000"/>
                <w:sz w:val="24"/>
                <w:szCs w:val="24"/>
              </w:rPr>
              <w:t>，</w:t>
            </w:r>
            <w:r>
              <w:rPr>
                <w:color w:val="000000"/>
                <w:sz w:val="24"/>
                <w:szCs w:val="24"/>
              </w:rPr>
              <w:t>遇明火后引起火灾</w:t>
            </w:r>
            <w:r>
              <w:rPr>
                <w:rFonts w:hint="eastAsia"/>
                <w:color w:val="000000"/>
                <w:sz w:val="24"/>
                <w:szCs w:val="24"/>
              </w:rPr>
              <w:t>，</w:t>
            </w:r>
            <w:r>
              <w:rPr>
                <w:color w:val="000000"/>
                <w:sz w:val="24"/>
                <w:szCs w:val="24"/>
              </w:rPr>
              <w:t>使用干粉灭火器灭火</w:t>
            </w:r>
            <w:r>
              <w:rPr>
                <w:rFonts w:hint="eastAsia"/>
                <w:color w:val="000000"/>
                <w:sz w:val="24"/>
                <w:szCs w:val="24"/>
              </w:rPr>
              <w:t>，</w:t>
            </w:r>
            <w:r>
              <w:rPr>
                <w:color w:val="000000"/>
                <w:sz w:val="24"/>
                <w:szCs w:val="24"/>
              </w:rPr>
              <w:t>无消防废水产生</w:t>
            </w:r>
            <w:r>
              <w:rPr>
                <w:rFonts w:hint="eastAsia"/>
                <w:color w:val="000000"/>
                <w:sz w:val="24"/>
                <w:szCs w:val="24"/>
              </w:rPr>
              <w:t>。</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1</w:t>
            </w:r>
            <w:r>
              <w:rPr>
                <w:rFonts w:hint="eastAsia"/>
                <w:color w:val="000000"/>
                <w:sz w:val="24"/>
                <w:szCs w:val="24"/>
              </w:rPr>
              <w:t>6</w:t>
            </w:r>
          </w:p>
        </w:tc>
        <w:tc>
          <w:tcPr>
            <w:tcW w:w="4117" w:type="dxa"/>
            <w:noWrap w:val="0"/>
            <w:vAlign w:val="center"/>
          </w:tcPr>
          <w:p>
            <w:pPr>
              <w:spacing w:line="240" w:lineRule="auto"/>
              <w:ind w:firstLine="0" w:firstLineChars="0"/>
              <w:rPr>
                <w:color w:val="000000"/>
                <w:sz w:val="24"/>
                <w:szCs w:val="24"/>
              </w:rPr>
            </w:pPr>
            <w:r>
              <w:rPr>
                <w:color w:val="000000"/>
                <w:sz w:val="24"/>
                <w:szCs w:val="24"/>
              </w:rPr>
              <w:t>化验室内安装监控系统</w:t>
            </w:r>
            <w:r>
              <w:rPr>
                <w:rFonts w:hint="eastAsia"/>
                <w:color w:val="000000"/>
                <w:sz w:val="24"/>
                <w:szCs w:val="24"/>
              </w:rPr>
              <w:t>，</w:t>
            </w:r>
            <w:r>
              <w:rPr>
                <w:color w:val="000000"/>
                <w:sz w:val="24"/>
                <w:szCs w:val="24"/>
              </w:rPr>
              <w:t>视频监控</w:t>
            </w:r>
            <w:r>
              <w:rPr>
                <w:rFonts w:hint="eastAsia"/>
                <w:color w:val="000000"/>
                <w:sz w:val="24"/>
                <w:szCs w:val="24"/>
              </w:rPr>
              <w:t>或</w:t>
            </w:r>
            <w:r>
              <w:rPr>
                <w:color w:val="000000"/>
                <w:sz w:val="24"/>
                <w:szCs w:val="24"/>
              </w:rPr>
              <w:t>巡视人员</w:t>
            </w:r>
            <w:r>
              <w:rPr>
                <w:rFonts w:hint="eastAsia"/>
                <w:color w:val="000000"/>
                <w:sz w:val="24"/>
                <w:szCs w:val="24"/>
              </w:rPr>
              <w:t>发现</w:t>
            </w:r>
            <w:r>
              <w:rPr>
                <w:color w:val="000000"/>
                <w:sz w:val="24"/>
                <w:szCs w:val="24"/>
              </w:rPr>
              <w:t>试剂包装破损发生泄漏，试剂用量较小</w:t>
            </w:r>
            <w:r>
              <w:rPr>
                <w:rFonts w:hint="eastAsia"/>
                <w:color w:val="000000"/>
                <w:sz w:val="24"/>
                <w:szCs w:val="24"/>
              </w:rPr>
              <w:t>，</w:t>
            </w:r>
            <w:r>
              <w:rPr>
                <w:color w:val="000000"/>
                <w:sz w:val="24"/>
                <w:szCs w:val="24"/>
              </w:rPr>
              <w:t>可控制在化验室内（不超出化验室区域）。</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dxa"/>
            <w:noWrap w:val="0"/>
            <w:vAlign w:val="center"/>
          </w:tcPr>
          <w:p>
            <w:pPr>
              <w:spacing w:line="240" w:lineRule="auto"/>
              <w:ind w:firstLine="0" w:firstLineChars="0"/>
              <w:jc w:val="center"/>
              <w:rPr>
                <w:color w:val="000000"/>
                <w:sz w:val="24"/>
                <w:szCs w:val="24"/>
              </w:rPr>
            </w:pPr>
            <w:r>
              <w:rPr>
                <w:color w:val="000000"/>
                <w:sz w:val="24"/>
                <w:szCs w:val="24"/>
              </w:rPr>
              <w:t>1</w:t>
            </w:r>
            <w:r>
              <w:rPr>
                <w:rFonts w:hint="eastAsia"/>
                <w:color w:val="000000"/>
                <w:sz w:val="24"/>
                <w:szCs w:val="24"/>
              </w:rPr>
              <w:t>7</w:t>
            </w:r>
          </w:p>
        </w:tc>
        <w:tc>
          <w:tcPr>
            <w:tcW w:w="4117" w:type="dxa"/>
            <w:noWrap w:val="0"/>
            <w:vAlign w:val="center"/>
          </w:tcPr>
          <w:p>
            <w:pPr>
              <w:spacing w:line="240" w:lineRule="auto"/>
              <w:ind w:firstLine="0" w:firstLineChars="0"/>
              <w:rPr>
                <w:color w:val="000000"/>
                <w:sz w:val="24"/>
                <w:szCs w:val="24"/>
              </w:rPr>
            </w:pPr>
            <w:r>
              <w:rPr>
                <w:color w:val="000000"/>
                <w:sz w:val="24"/>
                <w:szCs w:val="24"/>
              </w:rPr>
              <w:t>环保设施失灵，生产过程产生的废气不经处理便直接排放。</w:t>
            </w:r>
          </w:p>
        </w:tc>
        <w:tc>
          <w:tcPr>
            <w:tcW w:w="2147" w:type="dxa"/>
            <w:vMerge w:val="continue"/>
            <w:noWrap w:val="0"/>
            <w:vAlign w:val="center"/>
          </w:tcPr>
          <w:p>
            <w:pPr>
              <w:spacing w:line="240" w:lineRule="auto"/>
              <w:ind w:firstLine="0" w:firstLineChars="0"/>
              <w:jc w:val="center"/>
              <w:rPr>
                <w:color w:val="000000"/>
                <w:sz w:val="24"/>
                <w:szCs w:val="24"/>
              </w:rPr>
            </w:pPr>
          </w:p>
        </w:tc>
        <w:tc>
          <w:tcPr>
            <w:tcW w:w="1168" w:type="dxa"/>
            <w:vMerge w:val="continue"/>
            <w:noWrap w:val="0"/>
            <w:vAlign w:val="center"/>
          </w:tcPr>
          <w:p>
            <w:pPr>
              <w:spacing w:line="240" w:lineRule="auto"/>
              <w:ind w:firstLine="0" w:firstLineChars="0"/>
              <w:jc w:val="center"/>
              <w:rPr>
                <w:color w:val="000000"/>
                <w:sz w:val="24"/>
                <w:szCs w:val="24"/>
              </w:rPr>
            </w:pPr>
          </w:p>
        </w:tc>
      </w:tr>
    </w:tbl>
    <w:p>
      <w:pPr>
        <w:ind w:firstLine="560"/>
        <w:rPr>
          <w:color w:val="000000"/>
        </w:rPr>
      </w:pPr>
      <w:r>
        <w:rPr>
          <w:color w:val="000000"/>
        </w:rPr>
        <w:t>突发环境事件实行三级响应。应急响应等级及内容如下：</w:t>
      </w:r>
    </w:p>
    <w:p>
      <w:pPr>
        <w:ind w:firstLine="560"/>
        <w:rPr>
          <w:color w:val="000000"/>
        </w:rPr>
      </w:pPr>
      <w:r>
        <w:rPr>
          <w:color w:val="000000"/>
        </w:rPr>
        <w:t>（1）出现现场级响应的事故类型时，由事件发生部门负责人启动三级</w:t>
      </w:r>
      <w:r>
        <w:rPr>
          <w:rFonts w:hint="eastAsia"/>
          <w:color w:val="000000"/>
        </w:rPr>
        <w:t>响应</w:t>
      </w:r>
      <w:r>
        <w:rPr>
          <w:color w:val="000000"/>
        </w:rPr>
        <w:t>，事故发生区域主管负责现场指挥。三级预警不必拉响全厂警报。</w:t>
      </w:r>
    </w:p>
    <w:p>
      <w:pPr>
        <w:ind w:firstLine="560"/>
        <w:rPr>
          <w:color w:val="000000"/>
        </w:rPr>
      </w:pPr>
      <w:r>
        <w:rPr>
          <w:color w:val="000000"/>
        </w:rPr>
        <w:t>（2）出现公司级响应的事故类型时，</w:t>
      </w:r>
      <w:r>
        <w:rPr>
          <w:rFonts w:hint="eastAsia"/>
          <w:color w:val="000000"/>
        </w:rPr>
        <w:t>厂区</w:t>
      </w:r>
      <w:r>
        <w:rPr>
          <w:color w:val="000000"/>
        </w:rPr>
        <w:t>的应急</w:t>
      </w:r>
      <w:r>
        <w:rPr>
          <w:rFonts w:hint="eastAsia"/>
          <w:color w:val="000000"/>
        </w:rPr>
        <w:t>救援</w:t>
      </w:r>
      <w:r>
        <w:rPr>
          <w:color w:val="000000"/>
        </w:rPr>
        <w:t>人员应立即行动，由总指挥启动二级</w:t>
      </w:r>
      <w:r>
        <w:rPr>
          <w:rFonts w:hint="eastAsia"/>
          <w:color w:val="000000"/>
        </w:rPr>
        <w:t>响应</w:t>
      </w:r>
      <w:r>
        <w:rPr>
          <w:color w:val="000000"/>
        </w:rPr>
        <w:t>，副总指挥负责现场的指挥。全厂警报，全部无关人员撤离。</w:t>
      </w:r>
    </w:p>
    <w:p>
      <w:pPr>
        <w:ind w:firstLine="560"/>
        <w:rPr>
          <w:color w:val="000000"/>
        </w:rPr>
      </w:pPr>
      <w:r>
        <w:rPr>
          <w:color w:val="000000"/>
        </w:rPr>
        <w:t>（3）出现区域级响应的事故类型时，由总指挥负责启动一级</w:t>
      </w:r>
      <w:r>
        <w:rPr>
          <w:rFonts w:hint="eastAsia"/>
          <w:color w:val="000000"/>
        </w:rPr>
        <w:t>响应</w:t>
      </w:r>
      <w:r>
        <w:rPr>
          <w:color w:val="000000"/>
        </w:rPr>
        <w:t>，并负责全面的指挥与协调。全厂警报，全部无关人员撤离，并立即上报经开区应急指挥中心及经开区生态环境局，扩大应急响应，积极联系取得外部支援，地方政府到场后，移交指挥权，并积极配合地方政府实施应急处置。</w:t>
      </w:r>
    </w:p>
    <w:p>
      <w:pPr>
        <w:pStyle w:val="5"/>
        <w:rPr>
          <w:color w:val="000000"/>
        </w:rPr>
      </w:pPr>
      <w:r>
        <w:rPr>
          <w:color w:val="000000"/>
        </w:rPr>
        <w:t>7.1.2应急响应程序</w:t>
      </w:r>
    </w:p>
    <w:p>
      <w:pPr>
        <w:ind w:firstLine="560"/>
        <w:rPr>
          <w:rFonts w:hint="eastAsia"/>
          <w:color w:val="000000"/>
        </w:rPr>
      </w:pPr>
      <w:r>
        <w:rPr>
          <w:rFonts w:hint="eastAsia"/>
          <w:color w:val="000000"/>
        </w:rPr>
        <w:t>当班值班负责人接到事故报警后，按照事件情况及分级条件作出判断，确定响应级别。如果事故不足以启动应急救援体系的最低响应级别，响应关闭。</w:t>
      </w:r>
    </w:p>
    <w:p>
      <w:pPr>
        <w:ind w:firstLine="560"/>
        <w:rPr>
          <w:rFonts w:hint="eastAsia"/>
          <w:color w:val="000000"/>
        </w:rPr>
      </w:pPr>
      <w:r>
        <w:rPr>
          <w:rFonts w:hint="eastAsia"/>
          <w:color w:val="000000"/>
        </w:rPr>
        <w:t>确定应急响应级别以后，按所确定的响应级别启动应急程序：</w:t>
      </w:r>
    </w:p>
    <w:p>
      <w:pPr>
        <w:ind w:firstLine="560"/>
        <w:rPr>
          <w:color w:val="000000"/>
        </w:rPr>
      </w:pPr>
      <w:r>
        <w:rPr>
          <w:color w:val="000000"/>
        </w:rPr>
        <w:t>当发生现场级突发性环境污染事件时，启动三级响应程序；车间</w:t>
      </w:r>
      <w:r>
        <w:rPr>
          <w:rFonts w:hint="eastAsia"/>
          <w:color w:val="000000"/>
        </w:rPr>
        <w:t>负责人</w:t>
      </w:r>
      <w:r>
        <w:rPr>
          <w:color w:val="000000"/>
        </w:rPr>
        <w:t>启动应急处置措施，由车间主要负责人为现场负责人，立即通知事件现场人员撤离至安全地带，并组织专业人员釆取措施，控制事态，公司安环部派人到现场指导应急处置。</w:t>
      </w:r>
    </w:p>
    <w:p>
      <w:pPr>
        <w:ind w:firstLine="560"/>
        <w:rPr>
          <w:color w:val="000000"/>
        </w:rPr>
      </w:pPr>
      <w:r>
        <w:rPr>
          <w:color w:val="000000"/>
        </w:rPr>
        <w:t>当发生公司级突发性环境污染事件时，启动二级响应程序；公司应急救援指挥部启动公司突发环境事件应急</w:t>
      </w:r>
      <w:r>
        <w:rPr>
          <w:rFonts w:hint="eastAsia"/>
          <w:color w:val="000000"/>
        </w:rPr>
        <w:t>处置</w:t>
      </w:r>
      <w:r>
        <w:rPr>
          <w:color w:val="000000"/>
        </w:rPr>
        <w:t>预案，进行抢险抢修工作，控制事态，副总指挥为现场负责人。</w:t>
      </w:r>
    </w:p>
    <w:p>
      <w:pPr>
        <w:ind w:firstLine="560"/>
        <w:rPr>
          <w:color w:val="000000"/>
        </w:rPr>
      </w:pPr>
      <w:r>
        <w:rPr>
          <w:color w:val="000000"/>
        </w:rPr>
        <w:t>当发生环境事件，污染超出公司厂区范围，影响到厂外环境，启动一级响应程序。公司应急救援指挥部启动公司突发环境事件应急救援预案，釆取应急措施，总指挥为现场负责人，并请求天津经济技术开发区生态环境局及上级机关应急增援，上级机关救援工作组到达现场后，听从上级机关救援工作组的安排。</w:t>
      </w:r>
    </w:p>
    <w:p>
      <w:pPr>
        <w:ind w:firstLine="560"/>
        <w:rPr>
          <w:color w:val="000000"/>
        </w:rPr>
      </w:pPr>
      <w:r>
        <w:rPr>
          <w:color w:val="000000"/>
        </w:rPr>
        <w:t>处置突发环境事件应急响应流程图见图7.1-1。发生突发环境事件时，同时启动安全应急预案等。 当启动政府应急响应时，公司将根据上级的统一安排启动一级响应。并按下列程序和内容响应：</w:t>
      </w:r>
    </w:p>
    <w:p>
      <w:pPr>
        <w:ind w:firstLine="560"/>
        <w:rPr>
          <w:color w:val="000000"/>
        </w:rPr>
      </w:pPr>
      <w:r>
        <w:rPr>
          <w:color w:val="000000"/>
        </w:rPr>
        <w:t>（1）由总指挥启动本公司应急预案，公司应急指挥部、各个应急处置小组整装到位，按照各自职责展开处置工作，保持处置过程的联系，随时掌握事件的进展情况；</w:t>
      </w:r>
    </w:p>
    <w:p>
      <w:pPr>
        <w:ind w:firstLine="560"/>
        <w:rPr>
          <w:color w:val="000000"/>
        </w:rPr>
      </w:pPr>
      <w:r>
        <w:rPr>
          <w:color w:val="000000"/>
        </w:rPr>
        <w:t>（2）立即向天津经济技术开发区生态环境局报告；</w:t>
      </w:r>
    </w:p>
    <w:p>
      <w:pPr>
        <w:ind w:firstLine="560"/>
        <w:rPr>
          <w:color w:val="000000"/>
        </w:rPr>
      </w:pPr>
      <w:r>
        <w:rPr>
          <w:color w:val="000000"/>
        </w:rPr>
        <w:t>（3）随时向天津经济技术开发区生态环境局报告突发环境事件基本情况和应急救援的进展情况；</w:t>
      </w:r>
    </w:p>
    <w:p>
      <w:pPr>
        <w:ind w:firstLine="560"/>
        <w:rPr>
          <w:color w:val="000000"/>
        </w:rPr>
      </w:pPr>
      <w:r>
        <w:rPr>
          <w:color w:val="000000"/>
        </w:rPr>
        <w:t>（4）派出相关应急救援力量和专家赶赴现场参加、指导现场应急救援；</w:t>
      </w:r>
    </w:p>
    <w:p>
      <w:pPr>
        <w:ind w:firstLine="560"/>
        <w:rPr>
          <w:color w:val="000000"/>
        </w:rPr>
      </w:pPr>
      <w:r>
        <w:rPr>
          <w:color w:val="000000"/>
        </w:rPr>
        <w:t>（5）需要其他应急救援力量支援时，向天津经济技术开发区生态环境局提出请求。</w:t>
      </w:r>
    </w:p>
    <w:p>
      <w:pPr>
        <w:ind w:firstLine="560"/>
        <w:rPr>
          <w:color w:val="000000"/>
        </w:rPr>
      </w:pPr>
      <w:r>
        <w:rPr>
          <w:color w:val="000000"/>
        </w:rPr>
        <w:t>（6）当天津经济技术开发区或上一级政府部门介入后，听从上级机关救援工作组的安排，并做好配合工作。</w:t>
      </w:r>
    </w:p>
    <w:p>
      <w:pPr>
        <w:pStyle w:val="2"/>
        <w:jc w:val="center"/>
        <w:rPr>
          <w:rFonts w:ascii="Times New Roman" w:hAnsi="Times New Roman" w:cs="Times New Roman"/>
        </w:rPr>
      </w:pPr>
      <w:r>
        <w:rPr>
          <w:rFonts w:ascii="Times New Roman" w:hAnsi="Times New Roman" w:cs="Times New Roman"/>
        </w:rPr>
        <w:drawing>
          <wp:inline distT="0" distB="0" distL="114300" distR="114300">
            <wp:extent cx="4984115" cy="6020435"/>
            <wp:effectExtent l="0" t="0" r="14605" b="14605"/>
            <wp:docPr id="28" name="图片 4" descr="166190710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1661907102057"/>
                    <pic:cNvPicPr>
                      <a:picLocks noChangeAspect="1"/>
                    </pic:cNvPicPr>
                  </pic:nvPicPr>
                  <pic:blipFill>
                    <a:blip r:embed="rId24"/>
                    <a:stretch>
                      <a:fillRect/>
                    </a:stretch>
                  </pic:blipFill>
                  <pic:spPr>
                    <a:xfrm>
                      <a:off x="0" y="0"/>
                      <a:ext cx="4984115" cy="6020435"/>
                    </a:xfrm>
                    <a:prstGeom prst="rect">
                      <a:avLst/>
                    </a:prstGeom>
                    <a:noFill/>
                    <a:ln>
                      <a:noFill/>
                    </a:ln>
                  </pic:spPr>
                </pic:pic>
              </a:graphicData>
            </a:graphic>
          </wp:inline>
        </w:drawing>
      </w:r>
    </w:p>
    <w:p>
      <w:pPr>
        <w:pStyle w:val="2"/>
        <w:rPr>
          <w:rFonts w:ascii="Times New Roman" w:hAnsi="Times New Roman" w:cs="Times New Roman"/>
        </w:rPr>
      </w:pPr>
    </w:p>
    <w:p>
      <w:pPr>
        <w:ind w:firstLine="0" w:firstLineChars="0"/>
        <w:jc w:val="center"/>
        <w:rPr>
          <w:color w:val="000000"/>
          <w:szCs w:val="24"/>
        </w:rPr>
      </w:pPr>
      <w:r>
        <w:rPr>
          <w:color w:val="000000"/>
          <w:szCs w:val="24"/>
        </w:rPr>
        <w:t>图7.1-1  应急响应程序流程图</w:t>
      </w:r>
    </w:p>
    <w:p>
      <w:pPr>
        <w:pStyle w:val="4"/>
        <w:rPr>
          <w:color w:val="000000"/>
        </w:rPr>
      </w:pPr>
      <w:bookmarkStart w:id="31" w:name="_Toc120195393"/>
      <w:r>
        <w:rPr>
          <w:color w:val="000000"/>
        </w:rPr>
        <w:t>7.2现场应急措施</w:t>
      </w:r>
      <w:bookmarkEnd w:id="31"/>
    </w:p>
    <w:p>
      <w:pPr>
        <w:pStyle w:val="5"/>
        <w:rPr>
          <w:color w:val="000000"/>
        </w:rPr>
      </w:pPr>
      <w:r>
        <w:rPr>
          <w:rFonts w:hint="eastAsia"/>
          <w:color w:val="000000"/>
        </w:rPr>
        <w:t>7.2.1突发化学品泄漏污染环境事件应急措施</w:t>
      </w:r>
    </w:p>
    <w:p>
      <w:pPr>
        <w:ind w:firstLine="560"/>
        <w:rPr>
          <w:color w:val="000000"/>
        </w:rPr>
      </w:pPr>
      <w:r>
        <w:rPr>
          <w:rFonts w:hint="eastAsia"/>
          <w:color w:val="000000"/>
        </w:rPr>
        <w:t>本公司涉及的化学品主要为盐酸和烧碱，另外制药二车间内电热油炉中的热煤油、危废暂存间暂存少量的废油、化验室暂存少量的盐酸、硝酸、硫酸及三氯甲烷。</w:t>
      </w:r>
    </w:p>
    <w:p>
      <w:pPr>
        <w:ind w:firstLine="560"/>
        <w:rPr>
          <w:rFonts w:hint="eastAsia"/>
          <w:color w:val="000000"/>
        </w:rPr>
      </w:pPr>
      <w:r>
        <w:rPr>
          <w:rFonts w:hint="eastAsia"/>
          <w:color w:val="000000"/>
        </w:rPr>
        <w:t>危险化学品泄漏后，公司现场人员应立即切断泄漏源，采取相应处理措施。</w:t>
      </w:r>
    </w:p>
    <w:p>
      <w:pPr>
        <w:ind w:firstLine="560"/>
        <w:rPr>
          <w:rFonts w:hint="eastAsia"/>
          <w:color w:val="000000"/>
        </w:rPr>
      </w:pPr>
      <w:r>
        <w:rPr>
          <w:rFonts w:hint="eastAsia"/>
          <w:color w:val="000000"/>
        </w:rPr>
        <w:t>详见《突发化学品泄漏污染环境事件专项应急预案》及应急处置预案。</w:t>
      </w:r>
    </w:p>
    <w:p>
      <w:pPr>
        <w:pStyle w:val="5"/>
        <w:rPr>
          <w:color w:val="000000"/>
        </w:rPr>
      </w:pPr>
      <w:r>
        <w:rPr>
          <w:rFonts w:hint="eastAsia"/>
          <w:color w:val="000000"/>
        </w:rPr>
        <w:t>7.2.2突发火灾事故次生环境事件应急措施</w:t>
      </w:r>
    </w:p>
    <w:p>
      <w:pPr>
        <w:ind w:firstLine="560"/>
        <w:rPr>
          <w:color w:val="000000"/>
        </w:rPr>
      </w:pPr>
      <w:r>
        <w:rPr>
          <w:rFonts w:hint="eastAsia"/>
          <w:color w:val="000000"/>
        </w:rPr>
        <w:t>热煤油、机油、废油以及其他物品在生产、经营、贮存、运输、使用和处置过程中发生火灾、爆炸产生的次生环境危害，本公司应做好消防废水等应急处置措施。</w:t>
      </w:r>
    </w:p>
    <w:p>
      <w:pPr>
        <w:ind w:firstLine="560"/>
        <w:rPr>
          <w:rFonts w:hint="eastAsia"/>
          <w:color w:val="000000"/>
        </w:rPr>
      </w:pPr>
      <w:r>
        <w:rPr>
          <w:rFonts w:hint="eastAsia"/>
          <w:color w:val="000000"/>
        </w:rPr>
        <w:t>详见《突发火灾事故次生环境事件专项应急预案》及应急处置预案。</w:t>
      </w:r>
    </w:p>
    <w:p>
      <w:pPr>
        <w:pStyle w:val="5"/>
        <w:rPr>
          <w:rFonts w:hint="eastAsia"/>
          <w:color w:val="000000"/>
        </w:rPr>
      </w:pPr>
      <w:r>
        <w:rPr>
          <w:rFonts w:hint="eastAsia"/>
          <w:color w:val="000000"/>
        </w:rPr>
        <w:t>7.2.3环保治理设施失灵事故应急措施</w:t>
      </w:r>
    </w:p>
    <w:p>
      <w:pPr>
        <w:ind w:firstLine="560"/>
        <w:rPr>
          <w:color w:val="000000"/>
        </w:rPr>
      </w:pPr>
      <w:r>
        <w:rPr>
          <w:rFonts w:hint="eastAsia"/>
          <w:color w:val="000000"/>
        </w:rPr>
        <w:t>废气处理设施失灵，启动三级响应。</w:t>
      </w:r>
    </w:p>
    <w:p>
      <w:pPr>
        <w:ind w:firstLine="560"/>
        <w:rPr>
          <w:rFonts w:hint="eastAsia"/>
          <w:color w:val="000000"/>
        </w:rPr>
      </w:pPr>
      <w:r>
        <w:rPr>
          <w:rFonts w:hint="eastAsia"/>
          <w:color w:val="000000"/>
        </w:rPr>
        <w:t>公司环保治理设施失灵事故的突发环境事件的具体现场应急处置措施详见《环保治理设施失灵事故突发环境事件专项应急预案》和废气处理系统故障应急预案。</w:t>
      </w:r>
    </w:p>
    <w:p>
      <w:pPr>
        <w:pStyle w:val="4"/>
        <w:rPr>
          <w:color w:val="000000"/>
        </w:rPr>
      </w:pPr>
      <w:bookmarkStart w:id="32" w:name="_Toc120195394"/>
      <w:r>
        <w:rPr>
          <w:color w:val="000000"/>
        </w:rPr>
        <w:t>7.3应急设施（设备）及应急物资的启用程序</w:t>
      </w:r>
      <w:bookmarkEnd w:id="32"/>
    </w:p>
    <w:p>
      <w:pPr>
        <w:ind w:firstLine="560"/>
        <w:rPr>
          <w:color w:val="000000"/>
        </w:rPr>
      </w:pPr>
      <w:r>
        <w:rPr>
          <w:color w:val="000000"/>
        </w:rPr>
        <w:t>本着方便、迅速、就近、高效的原则，应急设施（设备）及应急物资的启用程序如下：</w:t>
      </w:r>
    </w:p>
    <w:p>
      <w:pPr>
        <w:ind w:firstLine="560"/>
        <w:rPr>
          <w:color w:val="000000"/>
        </w:rPr>
      </w:pPr>
      <w:r>
        <w:rPr>
          <w:color w:val="000000"/>
        </w:rPr>
        <w:t>（1）应急物资启用时必须由总指挥签发应急物资调用令，物资负责人持调用令后立即通知各应急物资管理人员及运输人员。</w:t>
      </w:r>
    </w:p>
    <w:p>
      <w:pPr>
        <w:ind w:firstLine="560"/>
        <w:rPr>
          <w:color w:val="000000"/>
        </w:rPr>
      </w:pPr>
      <w:r>
        <w:rPr>
          <w:color w:val="000000"/>
        </w:rPr>
        <w:t>负责运输的人员接到命令后立即赶赴指定地点等候装运。 各应急物资库房管理人员接到通知后立即清点所需物资并做好装运准备。物资出库办理相应手续，紧急情况下可以后补相关手续。</w:t>
      </w:r>
    </w:p>
    <w:p>
      <w:pPr>
        <w:ind w:firstLine="560"/>
        <w:rPr>
          <w:color w:val="000000"/>
        </w:rPr>
      </w:pPr>
      <w:r>
        <w:rPr>
          <w:color w:val="000000"/>
        </w:rPr>
        <w:t>（2）特别是处理泄漏物、消解和吸收污染物的化学品物资，环境风险源重点单位根据就近原则，备足、备齐，定置明确，能保证现场应急处理（置）人员在第一时间内启用。</w:t>
      </w:r>
    </w:p>
    <w:p>
      <w:pPr>
        <w:ind w:firstLine="560"/>
        <w:rPr>
          <w:color w:val="000000"/>
        </w:rPr>
      </w:pPr>
      <w:r>
        <w:rPr>
          <w:color w:val="000000"/>
        </w:rPr>
        <w:t>（3）其他应急设施（设备）由各救援专业组储备，如医疗救护仪器、药品、个人防护装备器材、消防设施、堵漏器材等，并明确调用单位的联系方式，以便应急领导指挥部随时启用。</w:t>
      </w:r>
    </w:p>
    <w:p>
      <w:pPr>
        <w:ind w:firstLine="560"/>
        <w:rPr>
          <w:color w:val="000000"/>
        </w:rPr>
      </w:pPr>
      <w:r>
        <w:rPr>
          <w:color w:val="000000"/>
        </w:rPr>
        <w:t>（5）建立应急物资储备、更新、轮换的储备机制。</w:t>
      </w:r>
    </w:p>
    <w:p>
      <w:pPr>
        <w:pStyle w:val="4"/>
        <w:rPr>
          <w:color w:val="000000"/>
        </w:rPr>
      </w:pPr>
      <w:bookmarkStart w:id="33" w:name="_Toc120195395"/>
      <w:r>
        <w:rPr>
          <w:color w:val="000000"/>
        </w:rPr>
        <w:t>7.4抢险、处置及控制措施</w:t>
      </w:r>
      <w:bookmarkEnd w:id="33"/>
    </w:p>
    <w:p>
      <w:pPr>
        <w:pStyle w:val="5"/>
        <w:rPr>
          <w:color w:val="000000"/>
        </w:rPr>
      </w:pPr>
      <w:r>
        <w:rPr>
          <w:color w:val="000000"/>
        </w:rPr>
        <w:t>7.4.1应急抢险、处置队伍的调度</w:t>
      </w:r>
    </w:p>
    <w:p>
      <w:pPr>
        <w:ind w:firstLine="560"/>
        <w:rPr>
          <w:color w:val="000000"/>
        </w:rPr>
      </w:pPr>
      <w:r>
        <w:rPr>
          <w:color w:val="000000"/>
        </w:rPr>
        <w:t>由应急指挥部统一调度，对事件现场的危险情况进行充分的估计，以严谨的态度和科学的方法来对待。负责事件发生后现场救援组织、调度人员，对外报警、联络，事件善后处理。向公司领导汇报情况。</w:t>
      </w:r>
    </w:p>
    <w:p>
      <w:pPr>
        <w:ind w:firstLine="560"/>
        <w:rPr>
          <w:color w:val="000000"/>
        </w:rPr>
      </w:pPr>
      <w:r>
        <w:rPr>
          <w:color w:val="000000"/>
        </w:rPr>
        <w:t>当确认突发事件即将或已经发生时，接警部门应立即向应急指挥部报告灾情，启动相关应急预案。指挥应急组先期开展救助行动，组织群众开展自救、互救。</w:t>
      </w:r>
    </w:p>
    <w:p>
      <w:pPr>
        <w:ind w:firstLine="560"/>
        <w:rPr>
          <w:color w:val="000000"/>
        </w:rPr>
      </w:pPr>
      <w:r>
        <w:rPr>
          <w:color w:val="000000"/>
        </w:rPr>
        <w:t>较大突发事件发生时，由本系统调动应急队伍进行处置。按照专业队伍为主体、群众性队伍为辅助的原则，由应急指挥部统一协调调动应急抢险救援队伍。</w:t>
      </w:r>
    </w:p>
    <w:p>
      <w:pPr>
        <w:ind w:firstLine="560"/>
        <w:rPr>
          <w:color w:val="000000"/>
        </w:rPr>
      </w:pPr>
      <w:r>
        <w:rPr>
          <w:color w:val="000000"/>
        </w:rPr>
        <w:t>参与突发事件处置的各相关部门应立即调动有关人员和处理队伍赶赴现场，有关组织或抢险队伍应服从调动。在指挥部的统一指挥下，按照专项预案分工和事件处理规程要求，相互配合，密切协作，共同开展应急处置和救援工作。</w:t>
      </w:r>
    </w:p>
    <w:p>
      <w:pPr>
        <w:ind w:firstLine="560"/>
        <w:rPr>
          <w:color w:val="000000"/>
        </w:rPr>
      </w:pPr>
      <w:r>
        <w:rPr>
          <w:color w:val="000000"/>
        </w:rPr>
        <w:t>相关单位和职能部门及时主动与事件处理的相关部门提供有关物资，为实施应急处置和开展救援工作提供便利条件。</w:t>
      </w:r>
    </w:p>
    <w:p>
      <w:pPr>
        <w:ind w:firstLine="560"/>
        <w:rPr>
          <w:color w:val="000000"/>
        </w:rPr>
      </w:pPr>
      <w:r>
        <w:rPr>
          <w:color w:val="000000"/>
        </w:rPr>
        <w:t>应急指挥部应及时做好现场控制、紧急处置、治安维护、人员疏散、保障安置等工作，防止事态进一步扩大。并及时掌握事态进展，随时向总指挥报告情况。</w:t>
      </w:r>
    </w:p>
    <w:p>
      <w:pPr>
        <w:ind w:firstLine="560"/>
        <w:rPr>
          <w:color w:val="000000"/>
        </w:rPr>
      </w:pPr>
      <w:r>
        <w:rPr>
          <w:color w:val="000000"/>
        </w:rPr>
        <w:t>应随时跟踪、预测事态进展、发现事态扩大，可能超出自身控制能力时立即报告应急指挥部调配其他应急资源，并及时向事件可能影响到的地区及相关部门通报有关情况。特别紧急时向公司周边区域发出预警。</w:t>
      </w:r>
    </w:p>
    <w:p>
      <w:pPr>
        <w:pStyle w:val="5"/>
        <w:rPr>
          <w:color w:val="000000"/>
        </w:rPr>
      </w:pPr>
      <w:r>
        <w:rPr>
          <w:color w:val="000000"/>
        </w:rPr>
        <w:t>7.4.2抢险、处置人员的防护、监护措施</w:t>
      </w:r>
    </w:p>
    <w:p>
      <w:pPr>
        <w:ind w:firstLine="560"/>
        <w:rPr>
          <w:color w:val="000000"/>
        </w:rPr>
      </w:pPr>
      <w:r>
        <w:rPr>
          <w:color w:val="000000"/>
        </w:rPr>
        <w:t>救援人员根据危险化学品的特性，采取适当的安全防护措施，如：</w:t>
      </w:r>
    </w:p>
    <w:p>
      <w:pPr>
        <w:ind w:firstLine="560"/>
        <w:rPr>
          <w:color w:val="000000"/>
        </w:rPr>
      </w:pPr>
      <w:r>
        <w:rPr>
          <w:color w:val="000000"/>
        </w:rPr>
        <w:t>（1）危化品泄漏事件处置必须挑选业务技术熟练并有较丰富实践经验的人员，组成精干的处置组(进入处置现场人员每组不得少于两人)。</w:t>
      </w:r>
    </w:p>
    <w:p>
      <w:pPr>
        <w:ind w:firstLine="560"/>
        <w:rPr>
          <w:color w:val="000000"/>
        </w:rPr>
      </w:pPr>
      <w:r>
        <w:rPr>
          <w:color w:val="000000"/>
        </w:rPr>
        <w:t>（2）安排专人对防护装备的安全性能进行仔细检查，认真检查正压呼吸器的压力等参数，详细记录每位进入、撤出泄漏现场的人员姓名和时间。</w:t>
      </w:r>
    </w:p>
    <w:p>
      <w:pPr>
        <w:ind w:firstLine="560"/>
        <w:rPr>
          <w:color w:val="000000"/>
        </w:rPr>
      </w:pPr>
      <w:r>
        <w:rPr>
          <w:color w:val="000000"/>
        </w:rPr>
        <w:t>（3）时刻关注事件现场险情变化，发生危险立即撤离现场还应准备特效急救药物，有医护人员待命。对中毒的人员应从上风方向抢救或引导撤出。</w:t>
      </w:r>
    </w:p>
    <w:p>
      <w:pPr>
        <w:ind w:firstLine="560"/>
        <w:rPr>
          <w:color w:val="000000"/>
        </w:rPr>
      </w:pPr>
      <w:r>
        <w:rPr>
          <w:color w:val="000000"/>
        </w:rPr>
        <w:t>（5）应针对泄漏物质的理化性质，穿（佩）戴不同的防护装备。</w:t>
      </w:r>
    </w:p>
    <w:p>
      <w:pPr>
        <w:ind w:firstLine="560"/>
        <w:rPr>
          <w:color w:val="000000"/>
        </w:rPr>
      </w:pPr>
      <w:r>
        <w:rPr>
          <w:color w:val="000000"/>
        </w:rPr>
        <w:t>（6）呼吸系统防护：当处置过程中存在有毒气体，应佩戴防毒面具。空气中污染物浓度较高时，应佩戴正压式空气呼吸器。</w:t>
      </w:r>
    </w:p>
    <w:p>
      <w:pPr>
        <w:ind w:firstLine="560"/>
        <w:rPr>
          <w:color w:val="000000"/>
        </w:rPr>
      </w:pPr>
      <w:r>
        <w:rPr>
          <w:color w:val="000000"/>
        </w:rPr>
        <w:t>（7）眼睛防护：眼睛对有毒有害气体特别敏感，当呼吸系统防护未对眼睛进行防护时，应佩戴化学安全防护眼镜。</w:t>
      </w:r>
    </w:p>
    <w:p>
      <w:pPr>
        <w:ind w:firstLine="560"/>
        <w:rPr>
          <w:color w:val="000000"/>
        </w:rPr>
      </w:pPr>
      <w:r>
        <w:rPr>
          <w:color w:val="000000"/>
        </w:rPr>
        <w:t>（8）身体防护：当有毒气体或液体可通过皮肤吸收中毒时，应穿全密闭式防护服：在可能接触腐蚀品时，应穿耐酸碱工作服。</w:t>
      </w:r>
    </w:p>
    <w:p>
      <w:pPr>
        <w:ind w:firstLine="560"/>
        <w:rPr>
          <w:color w:val="000000"/>
          <w:szCs w:val="24"/>
        </w:rPr>
      </w:pPr>
      <w:r>
        <w:rPr>
          <w:color w:val="000000"/>
        </w:rPr>
        <w:t>（9）手部防护：在</w:t>
      </w:r>
      <w:r>
        <w:rPr>
          <w:color w:val="000000"/>
          <w:szCs w:val="24"/>
        </w:rPr>
        <w:t>没有使用全密闭防护服时，应戴耐酸碱手套。</w:t>
      </w:r>
    </w:p>
    <w:p>
      <w:pPr>
        <w:pStyle w:val="5"/>
        <w:rPr>
          <w:color w:val="000000"/>
        </w:rPr>
      </w:pPr>
      <w:r>
        <w:rPr>
          <w:color w:val="000000"/>
        </w:rPr>
        <w:t>7.4.3抢险、处置方式、方法</w:t>
      </w:r>
    </w:p>
    <w:p>
      <w:pPr>
        <w:ind w:firstLine="560"/>
        <w:rPr>
          <w:color w:val="000000"/>
        </w:rPr>
      </w:pPr>
      <w:r>
        <w:rPr>
          <w:color w:val="000000"/>
        </w:rPr>
        <w:t>（1）抢险、救援人员必须在确保自身安全的前提下进行救护。</w:t>
      </w:r>
    </w:p>
    <w:p>
      <w:pPr>
        <w:ind w:firstLine="560"/>
        <w:rPr>
          <w:color w:val="000000"/>
        </w:rPr>
      </w:pPr>
      <w:r>
        <w:rPr>
          <w:color w:val="000000"/>
        </w:rPr>
        <w:t>（2）抢险、救援人员必须有两人以上方能进入事件现场进行救援，佩戴自给正压式呼吸器，穿防护服。</w:t>
      </w:r>
    </w:p>
    <w:p>
      <w:pPr>
        <w:ind w:firstLine="560"/>
        <w:rPr>
          <w:color w:val="000000"/>
        </w:rPr>
      </w:pPr>
      <w:r>
        <w:rPr>
          <w:color w:val="000000"/>
        </w:rPr>
        <w:t>（3）抢险、救援人员必须听从指挥，了解中毒物质及现场情况，防护器具佩戴齐全。由安全部进行事件现场工作人员的监护,现场指挥随时掌握事件现场的工作情况，便于抢险救援人员遇紧急情况及时撤离事件现场。</w:t>
      </w:r>
    </w:p>
    <w:p>
      <w:pPr>
        <w:ind w:firstLine="560"/>
        <w:rPr>
          <w:color w:val="000000"/>
        </w:rPr>
      </w:pPr>
      <w:r>
        <w:rPr>
          <w:color w:val="000000"/>
        </w:rPr>
        <w:t>（4）迅速将伤员抬离现场，搬运方法要正确。</w:t>
      </w:r>
    </w:p>
    <w:p>
      <w:pPr>
        <w:ind w:firstLine="560"/>
        <w:rPr>
          <w:color w:val="000000"/>
        </w:rPr>
      </w:pPr>
      <w:r>
        <w:rPr>
          <w:rFonts w:hint="eastAsia"/>
          <w:color w:val="000000"/>
        </w:rPr>
        <w:t>①</w:t>
      </w:r>
      <w:r>
        <w:rPr>
          <w:color w:val="000000"/>
        </w:rPr>
        <w:t>根据伤员的伤情，选择合适的搬运方法和工具，注意保护受伤部位。</w:t>
      </w:r>
    </w:p>
    <w:p>
      <w:pPr>
        <w:ind w:firstLine="560"/>
        <w:rPr>
          <w:color w:val="000000"/>
        </w:rPr>
      </w:pPr>
      <w:r>
        <w:rPr>
          <w:rFonts w:hint="eastAsia"/>
          <w:color w:val="000000"/>
        </w:rPr>
        <w:t>②</w:t>
      </w:r>
      <w:r>
        <w:rPr>
          <w:color w:val="000000"/>
        </w:rPr>
        <w:t>呼吸已停止或呼吸微弱以及胸部、背部骨折的伤员，禁止背运，应使用担架或双人抬送。</w:t>
      </w:r>
    </w:p>
    <w:p>
      <w:pPr>
        <w:ind w:firstLine="560"/>
        <w:rPr>
          <w:color w:val="000000"/>
        </w:rPr>
      </w:pPr>
      <w:r>
        <w:rPr>
          <w:rFonts w:hint="eastAsia"/>
          <w:color w:val="000000"/>
        </w:rPr>
        <w:t>③</w:t>
      </w:r>
      <w:r>
        <w:rPr>
          <w:color w:val="000000"/>
        </w:rPr>
        <w:t>搬运时动作要轻，不可强拉，运送要迅速及时，争取时间。</w:t>
      </w:r>
    </w:p>
    <w:p>
      <w:pPr>
        <w:ind w:firstLine="560"/>
        <w:rPr>
          <w:color w:val="000000"/>
        </w:rPr>
      </w:pPr>
      <w:r>
        <w:rPr>
          <w:rFonts w:hint="eastAsia"/>
          <w:color w:val="000000"/>
        </w:rPr>
        <w:t>④</w:t>
      </w:r>
      <w:r>
        <w:rPr>
          <w:color w:val="000000"/>
        </w:rPr>
        <w:t>严重出血的伤员，应采取临时止血包扎措施。</w:t>
      </w:r>
    </w:p>
    <w:p>
      <w:pPr>
        <w:ind w:firstLine="560"/>
        <w:rPr>
          <w:color w:val="000000"/>
          <w:szCs w:val="24"/>
        </w:rPr>
      </w:pPr>
      <w:r>
        <w:rPr>
          <w:rFonts w:hint="eastAsia"/>
          <w:color w:val="000000"/>
        </w:rPr>
        <w:t>⑤</w:t>
      </w:r>
      <w:r>
        <w:rPr>
          <w:color w:val="000000"/>
        </w:rPr>
        <w:t>救护在高处作业的人</w:t>
      </w:r>
      <w:r>
        <w:rPr>
          <w:color w:val="000000"/>
          <w:szCs w:val="24"/>
        </w:rPr>
        <w:t>员，应采取防止坠落、摔伤的措施。</w:t>
      </w:r>
    </w:p>
    <w:p>
      <w:pPr>
        <w:pStyle w:val="5"/>
        <w:rPr>
          <w:color w:val="000000"/>
        </w:rPr>
      </w:pPr>
      <w:r>
        <w:rPr>
          <w:color w:val="000000"/>
        </w:rPr>
        <w:t>7.4.</w:t>
      </w:r>
      <w:r>
        <w:rPr>
          <w:rFonts w:eastAsia="宋体"/>
          <w:color w:val="000000"/>
          <w:kern w:val="0"/>
          <w:sz w:val="24"/>
          <w:szCs w:val="24"/>
        </w:rPr>
        <w:t xml:space="preserve"> </w:t>
      </w:r>
      <w:r>
        <w:rPr>
          <w:color w:val="000000"/>
        </w:rPr>
        <w:t>4现场实时监测及异常情况下抢险人员的撤离条件、方法</w:t>
      </w:r>
    </w:p>
    <w:p>
      <w:pPr>
        <w:ind w:firstLine="560"/>
        <w:rPr>
          <w:color w:val="000000"/>
        </w:rPr>
      </w:pPr>
      <w:r>
        <w:rPr>
          <w:color w:val="000000"/>
        </w:rPr>
        <w:t>现场指挥对事件现场实时监测，可根据突发环境污染物的扩散和事件发生地的水文、气象和地域特点、污染物质的监测结果，及当时突发环境事件紧急情况，综合分析突发环境事件污染变化趋势，预测突发事件的发展情况及异常情况抢险人员生命安全等因素，确定抢险人员是否需撤离。 现场监测人员和抢险人员在现场出现有毒有害物质大量泄漏所配置的防护用品不能满足救护要求，可能危及人员时，由现场指挥负责人下达撤退命令，发出撤退信号，现场人员要迅速撤离至安全地带，避免不必要的损失或伤亡。</w:t>
      </w:r>
    </w:p>
    <w:p>
      <w:pPr>
        <w:ind w:firstLine="560"/>
        <w:rPr>
          <w:color w:val="000000"/>
        </w:rPr>
      </w:pPr>
      <w:r>
        <w:rPr>
          <w:color w:val="000000"/>
        </w:rPr>
        <w:t>现场监测人员和抢险人员在得到现场指挥负责人下达的命令后， 应立即紧急撤离，在异常情况下，可以先行撤离，到安全地带立即向现场指挥部汇报情况，并填写抢险人员的撤离前后报告表。</w:t>
      </w:r>
    </w:p>
    <w:p>
      <w:pPr>
        <w:ind w:firstLine="560"/>
        <w:rPr>
          <w:color w:val="000000"/>
          <w:szCs w:val="24"/>
        </w:rPr>
      </w:pPr>
      <w:r>
        <w:rPr>
          <w:color w:val="000000"/>
        </w:rPr>
        <w:t>在事件现场有异常变化情况下，监护人员应提前佩带好正压式呼吸器，穿戴好防护服立即进入事件现场通知抢险人员撤离现场，并做好抢险人员撤离后，事件现场的安全隔离工</w:t>
      </w:r>
      <w:r>
        <w:rPr>
          <w:color w:val="000000"/>
          <w:szCs w:val="24"/>
        </w:rPr>
        <w:t>作。</w:t>
      </w:r>
    </w:p>
    <w:p>
      <w:pPr>
        <w:pStyle w:val="5"/>
        <w:rPr>
          <w:color w:val="000000"/>
        </w:rPr>
      </w:pPr>
      <w:r>
        <w:rPr>
          <w:color w:val="000000"/>
        </w:rPr>
        <w:t>7.4.</w:t>
      </w:r>
      <w:r>
        <w:rPr>
          <w:rFonts w:eastAsia="宋体"/>
          <w:color w:val="000000"/>
          <w:kern w:val="0"/>
          <w:sz w:val="24"/>
          <w:szCs w:val="24"/>
        </w:rPr>
        <w:t xml:space="preserve"> </w:t>
      </w:r>
      <w:r>
        <w:rPr>
          <w:color w:val="000000"/>
        </w:rPr>
        <w:t>5控制事件扩大的措施</w:t>
      </w:r>
    </w:p>
    <w:p>
      <w:pPr>
        <w:ind w:firstLine="560"/>
        <w:rPr>
          <w:color w:val="000000"/>
        </w:rPr>
      </w:pPr>
      <w:r>
        <w:rPr>
          <w:color w:val="000000"/>
        </w:rPr>
        <w:t>尽可能切断泄漏源，合理通风，加速扩散。溶解产生的大量废水进入围堰。事件设备要妥善处理，修复、检验后再用。在服从事件抢险的前提下，由应急指挥部决定部分停产或全部停产，防止其它意外事件的发生，并确保将损失降到最小。</w:t>
      </w:r>
    </w:p>
    <w:p>
      <w:pPr>
        <w:pStyle w:val="5"/>
        <w:rPr>
          <w:color w:val="000000"/>
        </w:rPr>
      </w:pPr>
      <w:r>
        <w:rPr>
          <w:color w:val="000000"/>
        </w:rPr>
        <w:t>7.4.</w:t>
      </w:r>
      <w:r>
        <w:rPr>
          <w:rFonts w:eastAsia="宋体"/>
          <w:color w:val="000000"/>
          <w:kern w:val="0"/>
          <w:sz w:val="24"/>
          <w:szCs w:val="24"/>
        </w:rPr>
        <w:t xml:space="preserve"> </w:t>
      </w:r>
      <w:r>
        <w:rPr>
          <w:color w:val="000000"/>
        </w:rPr>
        <w:t>6事件可能扩大后的应急措施</w:t>
      </w:r>
    </w:p>
    <w:p>
      <w:pPr>
        <w:ind w:firstLine="560"/>
        <w:rPr>
          <w:color w:val="000000"/>
        </w:rPr>
      </w:pPr>
      <w:r>
        <w:rPr>
          <w:color w:val="000000"/>
        </w:rPr>
        <w:t>若事件危险升级、影响范围扩大以致难以控制；或者产生连锁反应，超出本单位范围并影响到周边区域；事件危害严重，对生命和财产构成极端威胁，则可能需要大范围撤离，应立即请求上级部门和专业队伍进行支援。</w:t>
      </w:r>
    </w:p>
    <w:p>
      <w:pPr>
        <w:ind w:firstLine="560"/>
        <w:rPr>
          <w:color w:val="000000"/>
        </w:rPr>
      </w:pPr>
      <w:r>
        <w:rPr>
          <w:color w:val="000000"/>
        </w:rPr>
        <w:t>（1）常见可能扩大的事件应急措施有：</w:t>
      </w:r>
    </w:p>
    <w:p>
      <w:pPr>
        <w:ind w:firstLine="560"/>
        <w:rPr>
          <w:color w:val="000000"/>
        </w:rPr>
      </w:pPr>
      <w:r>
        <w:rPr>
          <w:rFonts w:hint="eastAsia"/>
          <w:color w:val="000000"/>
        </w:rPr>
        <w:t>①</w:t>
      </w:r>
      <w:r>
        <w:rPr>
          <w:color w:val="000000"/>
        </w:rPr>
        <w:t>危险化学品大量泄漏快速扩散在安全的前提下，应紧急停运发生事件的主要设施，并立即确认泄漏部位。现场救援人员应按照要求穿戴防护服，并携带抢险器材及防护设施，迅速展开救援工作，尽量控制泄漏源，并采取处置措施以保护现场人员和建筑设施，保证周边区域的安全。</w:t>
      </w:r>
    </w:p>
    <w:p>
      <w:pPr>
        <w:ind w:firstLine="560"/>
        <w:rPr>
          <w:color w:val="000000"/>
        </w:rPr>
      </w:pPr>
      <w:r>
        <w:rPr>
          <w:rFonts w:hint="eastAsia"/>
          <w:color w:val="000000"/>
        </w:rPr>
        <w:t>②</w:t>
      </w:r>
      <w:r>
        <w:rPr>
          <w:color w:val="000000"/>
        </w:rPr>
        <w:t>火灾、爆炸事件引发的污染事件危化品易发生火灾、爆炸引发污染事件。一旦发生事件并造成消防废水泄漏，应立即构筑围堤或挖坑收容产生的大量消防废水。</w:t>
      </w:r>
    </w:p>
    <w:p>
      <w:pPr>
        <w:ind w:firstLine="560"/>
        <w:rPr>
          <w:color w:val="000000"/>
        </w:rPr>
      </w:pPr>
      <w:r>
        <w:rPr>
          <w:color w:val="000000"/>
        </w:rPr>
        <w:t>（2）事件可能扩大后的通用应急措施</w:t>
      </w:r>
    </w:p>
    <w:p>
      <w:pPr>
        <w:ind w:firstLine="560"/>
        <w:rPr>
          <w:color w:val="000000"/>
        </w:rPr>
      </w:pPr>
      <w:r>
        <w:rPr>
          <w:rFonts w:hint="eastAsia"/>
          <w:color w:val="000000"/>
        </w:rPr>
        <w:t>①</w:t>
      </w:r>
      <w:r>
        <w:rPr>
          <w:color w:val="000000"/>
        </w:rPr>
        <w:t>立即同环保部门和专业救援队伍取得联系，请求支援；扩大警戒范围，和周边村庄联系，加强防范措施，一旦事件扩大应进行紧急疏散。</w:t>
      </w:r>
    </w:p>
    <w:p>
      <w:pPr>
        <w:ind w:firstLine="560"/>
        <w:rPr>
          <w:color w:val="000000"/>
        </w:rPr>
      </w:pPr>
      <w:r>
        <w:rPr>
          <w:rFonts w:hint="eastAsia"/>
          <w:color w:val="000000"/>
        </w:rPr>
        <w:t>②</w:t>
      </w:r>
      <w:r>
        <w:rPr>
          <w:color w:val="000000"/>
        </w:rPr>
        <w:t>扩大事件警戒范围，并树立警戒标志，设立警戒岗，疏散引导组在警戒线处进行巡逻，如有必要加派人手，确保事件区域内没有人员逗留。</w:t>
      </w:r>
    </w:p>
    <w:p>
      <w:pPr>
        <w:ind w:firstLine="560"/>
        <w:rPr>
          <w:color w:val="000000"/>
        </w:rPr>
      </w:pPr>
      <w:r>
        <w:rPr>
          <w:rFonts w:hint="eastAsia"/>
          <w:color w:val="000000"/>
        </w:rPr>
        <w:t>③</w:t>
      </w:r>
      <w:r>
        <w:rPr>
          <w:color w:val="000000"/>
        </w:rPr>
        <w:t>对可能受到影响的河流实施保护措施，及时进行水质监测，根据水体监测情况，及时使用吸附、消减、拦截措施，尽量避免事件污染影响到水体。</w:t>
      </w:r>
    </w:p>
    <w:p>
      <w:pPr>
        <w:ind w:firstLine="560"/>
        <w:rPr>
          <w:color w:val="000000"/>
        </w:rPr>
      </w:pPr>
      <w:r>
        <w:rPr>
          <w:rFonts w:hint="eastAsia"/>
          <w:color w:val="000000"/>
        </w:rPr>
        <w:t>④</w:t>
      </w:r>
      <w:r>
        <w:rPr>
          <w:color w:val="000000"/>
        </w:rPr>
        <w:t>在事件范围可能扩大，事件有蔓延趋势时，应将事件区域周边的危险物进行转移。</w:t>
      </w:r>
    </w:p>
    <w:p>
      <w:pPr>
        <w:ind w:firstLine="560"/>
        <w:rPr>
          <w:color w:val="000000"/>
          <w:szCs w:val="24"/>
        </w:rPr>
      </w:pPr>
      <w:r>
        <w:rPr>
          <w:rFonts w:hint="eastAsia"/>
          <w:color w:val="000000"/>
        </w:rPr>
        <w:t>⑤</w:t>
      </w:r>
      <w:r>
        <w:rPr>
          <w:color w:val="000000"/>
        </w:rPr>
        <w:t>在事件扩大、影响非常恶劣的</w:t>
      </w:r>
      <w:r>
        <w:rPr>
          <w:color w:val="000000"/>
          <w:szCs w:val="24"/>
        </w:rPr>
        <w:t>特殊情况下，可以采用社会救援。</w:t>
      </w:r>
    </w:p>
    <w:p>
      <w:pPr>
        <w:pStyle w:val="5"/>
        <w:rPr>
          <w:color w:val="000000"/>
        </w:rPr>
      </w:pPr>
      <w:r>
        <w:rPr>
          <w:color w:val="000000"/>
        </w:rPr>
        <w:t>7.4. 7污染治理设施的运行和控制</w:t>
      </w:r>
    </w:p>
    <w:p>
      <w:pPr>
        <w:ind w:firstLine="560"/>
        <w:rPr>
          <w:color w:val="000000"/>
        </w:rPr>
      </w:pPr>
      <w:r>
        <w:rPr>
          <w:color w:val="000000"/>
        </w:rPr>
        <w:t>（1）加强平时对生产现场严格检查、监督的要求，严格执行排放标准，不得违规，发现超标排放和不符合规定的运行立即监督纠正，规范操作，及时发现事件隐患并得到处理。</w:t>
      </w:r>
    </w:p>
    <w:p>
      <w:pPr>
        <w:ind w:firstLine="560"/>
        <w:rPr>
          <w:color w:val="000000"/>
        </w:rPr>
      </w:pPr>
      <w:r>
        <w:rPr>
          <w:color w:val="000000"/>
        </w:rPr>
        <w:t>（2）若有突发环境事件发生（设备、管道破裂等事件）时，要根据本预案，由应急指挥部统一指挥，进行现场抢修。各组成员关注系统变化，及时采取应对措施。</w:t>
      </w:r>
    </w:p>
    <w:p>
      <w:pPr>
        <w:ind w:firstLine="560"/>
        <w:rPr>
          <w:color w:val="000000"/>
        </w:rPr>
      </w:pPr>
      <w:r>
        <w:rPr>
          <w:color w:val="000000"/>
        </w:rPr>
        <w:t>（3）不论发生何种污染事件，事件单位必须立即报告调度室（不超过10分钟），相关部门以实事求是的态度查找原因，分清责任，及时采取处置措施。建立健全事件报表，事件分析调查处理记录档案，做好各项原始记录和统计工作。</w:t>
      </w:r>
    </w:p>
    <w:p>
      <w:pPr>
        <w:ind w:firstLine="560"/>
        <w:rPr>
          <w:color w:val="000000"/>
        </w:rPr>
      </w:pPr>
      <w:r>
        <w:rPr>
          <w:color w:val="000000"/>
        </w:rPr>
        <w:t>（4）环境监测工作成为污染防控的重中之重。加强对污染源分析工作的培训及完善。根据监测数据及时提供对污染源的控制措施。</w:t>
      </w:r>
    </w:p>
    <w:p>
      <w:pPr>
        <w:ind w:firstLine="560"/>
        <w:rPr>
          <w:color w:val="000000"/>
          <w:szCs w:val="24"/>
        </w:rPr>
      </w:pPr>
      <w:r>
        <w:rPr>
          <w:color w:val="000000"/>
        </w:rPr>
        <w:t>（5）所有环保设施不得随意停运，减负荷运行，不得造成超标运行，在发生突发环境事件后，根据总指挥的指令，在抢修、处置实施的过程中，系统继续超标</w:t>
      </w:r>
      <w:r>
        <w:rPr>
          <w:color w:val="000000"/>
          <w:szCs w:val="24"/>
        </w:rPr>
        <w:t>排放，应立即减负荷直至停车处理。</w:t>
      </w:r>
    </w:p>
    <w:p>
      <w:pPr>
        <w:pStyle w:val="4"/>
        <w:rPr>
          <w:color w:val="000000"/>
        </w:rPr>
      </w:pPr>
      <w:bookmarkStart w:id="34" w:name="_Toc120195396"/>
      <w:r>
        <w:rPr>
          <w:color w:val="000000"/>
        </w:rPr>
        <w:t>7.5应急监测</w:t>
      </w:r>
      <w:bookmarkEnd w:id="34"/>
    </w:p>
    <w:p>
      <w:pPr>
        <w:ind w:firstLine="560"/>
        <w:rPr>
          <w:rFonts w:hint="eastAsia"/>
          <w:color w:val="000000"/>
        </w:rPr>
      </w:pPr>
      <w:r>
        <w:rPr>
          <w:color w:val="000000"/>
        </w:rPr>
        <w:t>1、一般原则</w:t>
      </w:r>
    </w:p>
    <w:p>
      <w:pPr>
        <w:ind w:firstLine="560"/>
        <w:rPr>
          <w:color w:val="000000"/>
        </w:rPr>
      </w:pPr>
      <w:r>
        <w:rPr>
          <w:color w:val="000000"/>
        </w:rPr>
        <w:t>企业发生突发环境事故，企业为责任主体应根据《突发环境事件应急监测技术规范》（HJ589-2021）的要求开展应急监测。采样点布设在突发环境事件发生地及其附近区域，兼顾人群和生活环境，监测点位布设主要以掌握污染发生地状况、反应事故发生区域环境的污染程度和范围，对被突发环境事件污染的大气设置对照点、控制点。</w:t>
      </w:r>
    </w:p>
    <w:p>
      <w:pPr>
        <w:ind w:firstLine="560"/>
        <w:rPr>
          <w:rFonts w:hint="eastAsia"/>
          <w:color w:val="000000"/>
        </w:rPr>
      </w:pPr>
      <w:r>
        <w:rPr>
          <w:color w:val="000000"/>
        </w:rPr>
        <w:t>2、监测布点原则</w:t>
      </w:r>
    </w:p>
    <w:p>
      <w:pPr>
        <w:ind w:firstLine="560"/>
        <w:rPr>
          <w:color w:val="000000"/>
        </w:rPr>
      </w:pPr>
      <w:r>
        <w:rPr>
          <w:color w:val="000000"/>
        </w:rPr>
        <w:t>大气监测：以大气污染事故地点为中心，在下风向按一定的间隔扇形或圆形布点3～5个，并根据污染物污的特性在不同高度采样， 同时在事故点的上风向适当位置设1～2个对照点；</w:t>
      </w:r>
      <w:r>
        <w:rPr>
          <w:rFonts w:hint="eastAsia"/>
          <w:color w:val="000000"/>
        </w:rPr>
        <w:t>在可能受污染影响的居民住宅区或人群活动区等敏感点必须设置采样点，</w:t>
      </w:r>
      <w:r>
        <w:rPr>
          <w:color w:val="000000"/>
        </w:rPr>
        <w:t>采样过程中应注意风向变化，及时调整采样点位置。</w:t>
      </w:r>
    </w:p>
    <w:p>
      <w:pPr>
        <w:ind w:firstLine="560"/>
        <w:rPr>
          <w:rFonts w:hint="eastAsia"/>
          <w:color w:val="000000"/>
        </w:rPr>
      </w:pPr>
      <w:r>
        <w:rPr>
          <w:color w:val="000000"/>
        </w:rPr>
        <w:t>水体</w:t>
      </w:r>
      <w:r>
        <w:rPr>
          <w:rFonts w:hint="eastAsia"/>
          <w:color w:val="000000"/>
        </w:rPr>
        <w:t>监测</w:t>
      </w:r>
      <w:r>
        <w:rPr>
          <w:color w:val="000000"/>
        </w:rPr>
        <w:t>：发生火灾爆炸时，采集消防废水水样进行监测。采样点布设设在厂区雨污水排放口。</w:t>
      </w:r>
    </w:p>
    <w:p>
      <w:pPr>
        <w:ind w:firstLine="560"/>
        <w:rPr>
          <w:color w:val="000000"/>
        </w:rPr>
      </w:pPr>
      <w:r>
        <w:rPr>
          <w:rFonts w:hint="eastAsia"/>
          <w:color w:val="000000"/>
        </w:rPr>
        <w:t>3</w:t>
      </w:r>
      <w:r>
        <w:rPr>
          <w:color w:val="000000"/>
        </w:rPr>
        <w:t>、监测单位</w:t>
      </w:r>
    </w:p>
    <w:p>
      <w:pPr>
        <w:ind w:firstLine="560"/>
        <w:rPr>
          <w:color w:val="000000"/>
        </w:rPr>
      </w:pPr>
      <w:r>
        <w:rPr>
          <w:color w:val="000000"/>
        </w:rPr>
        <w:t>（1）委托天津市庆安环境检测有限公司开展环境监测，根据监测结果确定安全范围，随时与地方生态环境部门进行交流，第一时间采取措施。</w:t>
      </w:r>
    </w:p>
    <w:p>
      <w:pPr>
        <w:ind w:firstLine="560"/>
        <w:rPr>
          <w:rFonts w:hint="eastAsia"/>
          <w:color w:val="000000"/>
        </w:rPr>
      </w:pPr>
      <w:r>
        <w:rPr>
          <w:color w:val="000000"/>
        </w:rPr>
        <w:t>（2）外部监测在发生事故波及外单位时，经过天津经济技术开发区生态环境局指挥部批准及协调后由天津市庆安环境检测有限公司开展应急监测，同时依托天津经济技术开发区生态环境监测中心开展持续应急监测，使公司环境监测得到保障。</w:t>
      </w:r>
    </w:p>
    <w:p>
      <w:pPr>
        <w:ind w:firstLine="560"/>
        <w:rPr>
          <w:rFonts w:hint="eastAsia"/>
          <w:color w:val="000000"/>
        </w:rPr>
      </w:pPr>
      <w:r>
        <w:rPr>
          <w:rFonts w:hint="eastAsia"/>
          <w:color w:val="000000"/>
        </w:rPr>
        <w:t>4</w:t>
      </w:r>
      <w:r>
        <w:rPr>
          <w:color w:val="000000"/>
        </w:rPr>
        <w:t>、</w:t>
      </w:r>
      <w:r>
        <w:rPr>
          <w:rFonts w:hint="eastAsia"/>
          <w:color w:val="000000"/>
        </w:rPr>
        <w:t>应急监测</w:t>
      </w:r>
    </w:p>
    <w:p>
      <w:pPr>
        <w:ind w:firstLine="560"/>
        <w:rPr>
          <w:color w:val="000000"/>
        </w:rPr>
      </w:pPr>
      <w:r>
        <w:rPr>
          <w:rFonts w:hint="eastAsia"/>
          <w:color w:val="000000"/>
        </w:rPr>
        <w:t xml:space="preserve">应急监测人员进入现场时应穿戴个人防护用品和有效的呼吸防 护装置。 </w:t>
      </w:r>
    </w:p>
    <w:p>
      <w:pPr>
        <w:ind w:firstLine="560"/>
        <w:rPr>
          <w:rFonts w:hint="eastAsia"/>
          <w:color w:val="000000"/>
        </w:rPr>
      </w:pPr>
      <w:r>
        <w:rPr>
          <w:rFonts w:hint="eastAsia"/>
          <w:color w:val="000000"/>
        </w:rPr>
        <w:t>对于大气应急监测，可能涉及的监测因子包括氯化氢、</w:t>
      </w:r>
      <w:r>
        <w:rPr>
          <w:color w:val="000000"/>
        </w:rPr>
        <w:t>CO等</w:t>
      </w:r>
      <w:r>
        <w:rPr>
          <w:rFonts w:hint="eastAsia"/>
          <w:color w:val="000000"/>
        </w:rPr>
        <w:t>。根据可能释放的物质确定应急监测因子，布点由现场情况而定。</w:t>
      </w:r>
    </w:p>
    <w:p>
      <w:pPr>
        <w:ind w:firstLine="560"/>
        <w:rPr>
          <w:rFonts w:hint="eastAsia"/>
          <w:color w:val="000000"/>
        </w:rPr>
      </w:pPr>
      <w:r>
        <w:rPr>
          <w:rFonts w:hint="eastAsia"/>
          <w:color w:val="000000"/>
        </w:rPr>
        <w:t xml:space="preserve">对于水环境应急监测，可能涉及的监测因子包括 </w:t>
      </w:r>
      <w:r>
        <w:rPr>
          <w:color w:val="000000"/>
        </w:rPr>
        <w:t>pH</w:t>
      </w:r>
      <w:r>
        <w:rPr>
          <w:rFonts w:hint="eastAsia"/>
          <w:color w:val="000000"/>
        </w:rPr>
        <w:t>、</w:t>
      </w:r>
      <w:r>
        <w:rPr>
          <w:color w:val="000000"/>
        </w:rPr>
        <w:t>COD</w:t>
      </w:r>
      <w:r>
        <w:rPr>
          <w:rFonts w:hint="eastAsia"/>
          <w:color w:val="000000"/>
        </w:rPr>
        <w:t>、石油类等，根据可能释放的物质确定应急监测因子。</w:t>
      </w:r>
    </w:p>
    <w:p>
      <w:pPr>
        <w:ind w:firstLine="0" w:firstLineChars="0"/>
        <w:jc w:val="center"/>
        <w:rPr>
          <w:color w:val="000000"/>
          <w:szCs w:val="24"/>
        </w:rPr>
      </w:pPr>
      <w:r>
        <w:rPr>
          <w:color w:val="000000"/>
          <w:szCs w:val="24"/>
        </w:rPr>
        <w:t>表7.5-1    典型事故应急监测设置情况</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4"/>
        <w:gridCol w:w="1418"/>
        <w:gridCol w:w="1984"/>
        <w:gridCol w:w="1701"/>
        <w:gridCol w:w="20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84"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事故类型</w:t>
            </w:r>
          </w:p>
        </w:tc>
        <w:tc>
          <w:tcPr>
            <w:tcW w:w="1418"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环境要素</w:t>
            </w:r>
          </w:p>
        </w:tc>
        <w:tc>
          <w:tcPr>
            <w:tcW w:w="1984"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应急监测因子</w:t>
            </w:r>
          </w:p>
        </w:tc>
        <w:tc>
          <w:tcPr>
            <w:tcW w:w="1701"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点位</w:t>
            </w:r>
          </w:p>
        </w:tc>
        <w:tc>
          <w:tcPr>
            <w:tcW w:w="202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84"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盐酸泄漏</w:t>
            </w:r>
          </w:p>
        </w:tc>
        <w:tc>
          <w:tcPr>
            <w:tcW w:w="1418"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大气</w:t>
            </w:r>
          </w:p>
        </w:tc>
        <w:tc>
          <w:tcPr>
            <w:tcW w:w="1984"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氯化氢</w:t>
            </w:r>
          </w:p>
        </w:tc>
        <w:tc>
          <w:tcPr>
            <w:tcW w:w="1701"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厂界处 、下风向处</w:t>
            </w:r>
          </w:p>
        </w:tc>
        <w:tc>
          <w:tcPr>
            <w:tcW w:w="202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84" w:type="dxa"/>
            <w:vMerge w:val="restart"/>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热煤油</w:t>
            </w:r>
            <w:r>
              <w:rPr>
                <w:rFonts w:hint="eastAsia" w:ascii="Times New Roman" w:hAnsi="Times New Roman" w:eastAsia="仿宋" w:cs="Times New Roman"/>
              </w:rPr>
              <w:t>、</w:t>
            </w:r>
            <w:r>
              <w:rPr>
                <w:rFonts w:ascii="Times New Roman" w:hAnsi="Times New Roman" w:eastAsia="仿宋" w:cs="Times New Roman"/>
              </w:rPr>
              <w:t>废油泄漏遇明火引起的火灾爆炸产生的次生危害</w:t>
            </w:r>
          </w:p>
        </w:tc>
        <w:tc>
          <w:tcPr>
            <w:tcW w:w="1418"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大气</w:t>
            </w:r>
          </w:p>
        </w:tc>
        <w:tc>
          <w:tcPr>
            <w:tcW w:w="1984" w:type="dxa"/>
            <w:noWrap w:val="0"/>
            <w:vAlign w:val="center"/>
          </w:tcPr>
          <w:p>
            <w:pPr>
              <w:pStyle w:val="2"/>
              <w:jc w:val="center"/>
              <w:rPr>
                <w:rFonts w:ascii="Times New Roman" w:hAnsi="Times New Roman" w:eastAsia="仿宋" w:cs="Times New Roman"/>
              </w:rPr>
            </w:pPr>
            <w:r>
              <w:rPr>
                <w:rFonts w:hint="eastAsia" w:ascii="Times New Roman" w:hAnsi="Times New Roman" w:eastAsia="仿宋" w:cs="Times New Roman"/>
                <w:kern w:val="2"/>
              </w:rPr>
              <w:t>CO、燃烧爆炸可能产生的有毒物质</w:t>
            </w:r>
          </w:p>
        </w:tc>
        <w:tc>
          <w:tcPr>
            <w:tcW w:w="1701"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厂界处 、下风向处</w:t>
            </w:r>
          </w:p>
        </w:tc>
        <w:tc>
          <w:tcPr>
            <w:tcW w:w="202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初始加密，随着污</w:t>
            </w:r>
          </w:p>
          <w:p>
            <w:pPr>
              <w:pStyle w:val="2"/>
              <w:jc w:val="center"/>
              <w:rPr>
                <w:rFonts w:ascii="Times New Roman" w:hAnsi="Times New Roman" w:eastAsia="仿宋" w:cs="Times New Roman"/>
              </w:rPr>
            </w:pPr>
            <w:r>
              <w:rPr>
                <w:rFonts w:ascii="Times New Roman" w:hAnsi="Times New Roman" w:eastAsia="仿宋" w:cs="Times New Roman"/>
              </w:rPr>
              <w:t>染物浓度的下降</w:t>
            </w:r>
          </w:p>
          <w:p>
            <w:pPr>
              <w:pStyle w:val="2"/>
              <w:jc w:val="center"/>
              <w:rPr>
                <w:rFonts w:ascii="Times New Roman" w:hAnsi="Times New Roman" w:eastAsia="仿宋" w:cs="Times New Roman"/>
              </w:rPr>
            </w:pPr>
            <w:r>
              <w:rPr>
                <w:rFonts w:ascii="Times New Roman" w:hAnsi="Times New Roman" w:eastAsia="仿宋" w:cs="Times New Roman"/>
              </w:rPr>
              <w:t>逐渐降低频次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84" w:type="dxa"/>
            <w:vMerge w:val="continue"/>
            <w:noWrap w:val="0"/>
            <w:vAlign w:val="center"/>
          </w:tcPr>
          <w:p>
            <w:pPr>
              <w:pStyle w:val="2"/>
              <w:jc w:val="center"/>
              <w:rPr>
                <w:rFonts w:ascii="Times New Roman" w:hAnsi="Times New Roman" w:eastAsia="仿宋" w:cs="Times New Roman"/>
              </w:rPr>
            </w:pPr>
          </w:p>
        </w:tc>
        <w:tc>
          <w:tcPr>
            <w:tcW w:w="1418"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地表水</w:t>
            </w:r>
          </w:p>
        </w:tc>
        <w:tc>
          <w:tcPr>
            <w:tcW w:w="1984"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pH、COD、石油类等</w:t>
            </w:r>
          </w:p>
        </w:tc>
        <w:tc>
          <w:tcPr>
            <w:tcW w:w="1701"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被围堵的消防废水</w:t>
            </w:r>
            <w:r>
              <w:rPr>
                <w:rFonts w:hint="eastAsia" w:ascii="Times New Roman" w:hAnsi="Times New Roman" w:eastAsia="仿宋" w:cs="Times New Roman"/>
              </w:rPr>
              <w:t>、</w:t>
            </w:r>
            <w:r>
              <w:rPr>
                <w:rFonts w:ascii="Times New Roman" w:hAnsi="Times New Roman" w:eastAsia="仿宋" w:cs="Times New Roman"/>
              </w:rPr>
              <w:t>厂区雨水排放口、污水排放口</w:t>
            </w:r>
          </w:p>
        </w:tc>
        <w:tc>
          <w:tcPr>
            <w:tcW w:w="2029" w:type="dxa"/>
            <w:noWrap w:val="0"/>
            <w:vAlign w:val="center"/>
          </w:tcPr>
          <w:p>
            <w:pPr>
              <w:pStyle w:val="2"/>
              <w:jc w:val="center"/>
              <w:rPr>
                <w:rFonts w:ascii="Times New Roman" w:hAnsi="Times New Roman" w:eastAsia="仿宋" w:cs="Times New Roman"/>
              </w:rPr>
            </w:pPr>
            <w:r>
              <w:rPr>
                <w:rFonts w:ascii="Times New Roman" w:hAnsi="Times New Roman" w:eastAsia="仿宋" w:cs="Times New Roman"/>
              </w:rPr>
              <w:t>——</w:t>
            </w:r>
          </w:p>
        </w:tc>
      </w:tr>
    </w:tbl>
    <w:p>
      <w:pPr>
        <w:pStyle w:val="4"/>
        <w:rPr>
          <w:color w:val="000000"/>
        </w:rPr>
      </w:pPr>
      <w:bookmarkStart w:id="35" w:name="_Toc120195397"/>
      <w:r>
        <w:rPr>
          <w:color w:val="000000"/>
        </w:rPr>
        <w:t>7.6应急终止</w:t>
      </w:r>
      <w:bookmarkEnd w:id="35"/>
    </w:p>
    <w:p>
      <w:pPr>
        <w:ind w:firstLine="560"/>
        <w:jc w:val="left"/>
        <w:rPr>
          <w:color w:val="000000"/>
          <w:szCs w:val="24"/>
        </w:rPr>
      </w:pPr>
      <w:r>
        <w:rPr>
          <w:color w:val="000000"/>
        </w:rPr>
        <w:t>当现场应急救援处置完成后，由应急救援各专业组及有关部门对事件现场进行详细检查并有效确认，现场级、公司级经总指挥批准宣布应急结束。区域级由当地环保部门检查确认后，宣布应急终止</w:t>
      </w:r>
      <w:r>
        <w:rPr>
          <w:color w:val="000000"/>
          <w:szCs w:val="24"/>
        </w:rPr>
        <w:t>。</w:t>
      </w:r>
    </w:p>
    <w:p>
      <w:pPr>
        <w:pStyle w:val="5"/>
        <w:rPr>
          <w:color w:val="000000"/>
        </w:rPr>
      </w:pPr>
      <w:r>
        <w:rPr>
          <w:color w:val="000000"/>
        </w:rPr>
        <w:t>7.6. 1应急终止的条件</w:t>
      </w:r>
    </w:p>
    <w:p>
      <w:pPr>
        <w:ind w:firstLine="560"/>
        <w:jc w:val="left"/>
        <w:rPr>
          <w:color w:val="000000"/>
          <w:szCs w:val="24"/>
        </w:rPr>
      </w:pPr>
      <w:r>
        <w:rPr>
          <w:color w:val="000000"/>
        </w:rPr>
        <w:t>凡符合下列条件之一的，即满足应急终止条件：污染源被有效控制；污染物处置成无危害状态；伤员被及时救护并送医院救治；人员撤离危险区；装置恢复稳定状态；敏感保护点不会受到危害，应急指挥部可宣布突发</w:t>
      </w:r>
      <w:r>
        <w:rPr>
          <w:color w:val="000000"/>
          <w:szCs w:val="24"/>
        </w:rPr>
        <w:t>环境污染事故应急终止。</w:t>
      </w:r>
    </w:p>
    <w:p>
      <w:pPr>
        <w:pStyle w:val="5"/>
        <w:rPr>
          <w:color w:val="000000"/>
        </w:rPr>
      </w:pPr>
      <w:r>
        <w:rPr>
          <w:color w:val="000000"/>
        </w:rPr>
        <w:t>7.6. 2应急终止的程序</w:t>
      </w:r>
    </w:p>
    <w:p>
      <w:pPr>
        <w:ind w:firstLine="560"/>
        <w:jc w:val="left"/>
        <w:rPr>
          <w:color w:val="000000"/>
          <w:szCs w:val="24"/>
        </w:rPr>
      </w:pPr>
      <w:r>
        <w:rPr>
          <w:color w:val="000000"/>
          <w:szCs w:val="24"/>
        </w:rPr>
        <w:t>（1）现场应急指挥部确认终止时机，或事件责任单位向现场救援指挥部提出申请；</w:t>
      </w:r>
    </w:p>
    <w:p>
      <w:pPr>
        <w:ind w:firstLine="560"/>
        <w:jc w:val="left"/>
        <w:rPr>
          <w:color w:val="000000"/>
          <w:szCs w:val="24"/>
        </w:rPr>
      </w:pPr>
      <w:r>
        <w:rPr>
          <w:color w:val="000000"/>
          <w:szCs w:val="24"/>
        </w:rPr>
        <w:t>（2）经过专家讨论，取得一致意见，经应急救援指挥部批准；</w:t>
      </w:r>
    </w:p>
    <w:p>
      <w:pPr>
        <w:ind w:firstLine="560"/>
        <w:jc w:val="left"/>
        <w:rPr>
          <w:color w:val="000000"/>
          <w:szCs w:val="24"/>
        </w:rPr>
      </w:pPr>
      <w:r>
        <w:rPr>
          <w:color w:val="000000"/>
          <w:szCs w:val="24"/>
        </w:rPr>
        <w:t>（3）应急救援指挥部向所属各专业应急救援队伍下达应急终止命令；</w:t>
      </w:r>
    </w:p>
    <w:p>
      <w:pPr>
        <w:ind w:firstLine="560"/>
        <w:jc w:val="left"/>
        <w:rPr>
          <w:color w:val="000000"/>
          <w:szCs w:val="24"/>
        </w:rPr>
      </w:pPr>
      <w:r>
        <w:rPr>
          <w:color w:val="000000"/>
          <w:szCs w:val="24"/>
        </w:rPr>
        <w:t>（4）应急状态终止后，各专业应急小组应根据环境应急指挥部有关指示和实际情况，继续进行环境监测和评价工作，直至其他补救措施无需继续进行为止。</w:t>
      </w:r>
    </w:p>
    <w:p>
      <w:pPr>
        <w:pStyle w:val="5"/>
        <w:rPr>
          <w:color w:val="000000"/>
        </w:rPr>
      </w:pPr>
      <w:r>
        <w:rPr>
          <w:color w:val="000000"/>
        </w:rPr>
        <w:t>7.6.3 应急解除通知</w:t>
      </w:r>
    </w:p>
    <w:p>
      <w:pPr>
        <w:ind w:firstLine="560"/>
        <w:jc w:val="left"/>
        <w:rPr>
          <w:color w:val="000000"/>
          <w:szCs w:val="24"/>
        </w:rPr>
      </w:pPr>
      <w:r>
        <w:rPr>
          <w:color w:val="000000"/>
          <w:szCs w:val="24"/>
        </w:rPr>
        <w:t>应急救援指挥部在应急行动终止后及时通知本单位相关部门事件危险已解除。由治安保卫组通知周边社区及相关人员事件危险已解除。</w:t>
      </w:r>
    </w:p>
    <w:p>
      <w:pPr>
        <w:pStyle w:val="5"/>
        <w:rPr>
          <w:color w:val="000000"/>
        </w:rPr>
      </w:pPr>
      <w:r>
        <w:rPr>
          <w:color w:val="000000"/>
        </w:rPr>
        <w:t>7.6.4 事件情况上报事项及向事件调查小组移交的事项</w:t>
      </w:r>
    </w:p>
    <w:p>
      <w:pPr>
        <w:ind w:firstLine="560"/>
        <w:jc w:val="left"/>
        <w:rPr>
          <w:color w:val="000000"/>
          <w:szCs w:val="24"/>
        </w:rPr>
      </w:pPr>
      <w:r>
        <w:rPr>
          <w:color w:val="000000"/>
          <w:szCs w:val="24"/>
        </w:rPr>
        <w:t xml:space="preserve"> 主要内容：环境污染事件的类型、发生时间、地点、污染源、主要污染物质、人员受害情况、事件潜在的危害程度、事件发生的原因、过程、进展情况及采取的应急措施、事件潜在或间接的危害、社会影响、处理后的遗留问题，参加处理工作的有关部门和工作内容，有关损失等情况。</w:t>
      </w:r>
    </w:p>
    <w:p>
      <w:pPr>
        <w:ind w:firstLine="560"/>
        <w:jc w:val="left"/>
        <w:rPr>
          <w:color w:val="000000"/>
          <w:szCs w:val="24"/>
        </w:rPr>
      </w:pPr>
      <w:r>
        <w:rPr>
          <w:color w:val="000000"/>
          <w:szCs w:val="24"/>
        </w:rPr>
        <w:t xml:space="preserve">根据事件的处置过程、事件上报内容涉及的记录、资料等进行妥善保存，向事件调查组进行移交，协助事件的调查工作。 </w:t>
      </w:r>
    </w:p>
    <w:p>
      <w:pPr>
        <w:pStyle w:val="5"/>
        <w:rPr>
          <w:color w:val="000000"/>
        </w:rPr>
      </w:pPr>
      <w:r>
        <w:rPr>
          <w:color w:val="000000"/>
        </w:rPr>
        <w:t>7.6.5 事件损失调查和责任认定</w:t>
      </w:r>
    </w:p>
    <w:p>
      <w:pPr>
        <w:ind w:firstLine="560"/>
        <w:jc w:val="left"/>
        <w:rPr>
          <w:color w:val="000000"/>
          <w:szCs w:val="24"/>
        </w:rPr>
      </w:pPr>
      <w:r>
        <w:rPr>
          <w:color w:val="000000"/>
          <w:szCs w:val="24"/>
        </w:rPr>
        <w:t>事件损失调查必须实事求是、客观、公正、全面的开展调查工作。</w:t>
      </w:r>
    </w:p>
    <w:p>
      <w:pPr>
        <w:ind w:firstLine="560"/>
        <w:jc w:val="left"/>
        <w:rPr>
          <w:color w:val="000000"/>
          <w:szCs w:val="24"/>
        </w:rPr>
      </w:pPr>
      <w:r>
        <w:rPr>
          <w:color w:val="000000"/>
          <w:szCs w:val="24"/>
        </w:rPr>
        <w:t>（1）在进行现场应急的同时，事件调查组应当抓紧进行现场调查取证工作，全面收集有关事件发生的原因、危害及损失等方面的证据和资料，必要时要组织有关部门和专业技术人员进行技术鉴定，对于涉及刑事犯罪的，应当请求公安司法部门介入和参与调查取证工作。</w:t>
      </w:r>
    </w:p>
    <w:p>
      <w:pPr>
        <w:ind w:firstLine="560"/>
        <w:jc w:val="left"/>
        <w:rPr>
          <w:color w:val="000000"/>
          <w:szCs w:val="24"/>
        </w:rPr>
      </w:pPr>
      <w:r>
        <w:rPr>
          <w:color w:val="000000"/>
          <w:szCs w:val="24"/>
        </w:rPr>
        <w:t>（2）现场应急处理工作告一段落后，由事件调查组根据调查取证情况，依据相关制度，拟定追究事件责任部门和责任人员责任的意见，报应急指挥部审批，对于触犯刑律的，移交司法机关追究刑事责任。</w:t>
      </w:r>
    </w:p>
    <w:p>
      <w:pPr>
        <w:pStyle w:val="5"/>
        <w:rPr>
          <w:color w:val="000000"/>
        </w:rPr>
      </w:pPr>
      <w:r>
        <w:rPr>
          <w:color w:val="000000"/>
        </w:rPr>
        <w:t>7.</w:t>
      </w:r>
      <w:r>
        <w:rPr>
          <w:rFonts w:hint="eastAsia"/>
          <w:color w:val="000000"/>
          <w:lang w:eastAsia="zh-CN"/>
        </w:rPr>
        <w:t>6</w:t>
      </w:r>
      <w:r>
        <w:rPr>
          <w:color w:val="000000"/>
        </w:rPr>
        <w:t xml:space="preserve">.6 应急处置工作总结报告 </w:t>
      </w:r>
    </w:p>
    <w:p>
      <w:pPr>
        <w:ind w:firstLine="560"/>
        <w:jc w:val="left"/>
        <w:rPr>
          <w:color w:val="000000"/>
          <w:szCs w:val="24"/>
        </w:rPr>
      </w:pPr>
      <w:r>
        <w:rPr>
          <w:color w:val="000000"/>
          <w:szCs w:val="24"/>
        </w:rPr>
        <w:t>应急指挥部负责组织编制环境应急总结报告，主要内容包括：</w:t>
      </w:r>
    </w:p>
    <w:p>
      <w:pPr>
        <w:ind w:firstLine="560"/>
        <w:jc w:val="left"/>
        <w:rPr>
          <w:color w:val="000000"/>
          <w:szCs w:val="24"/>
        </w:rPr>
      </w:pPr>
      <w:r>
        <w:rPr>
          <w:color w:val="000000"/>
          <w:szCs w:val="24"/>
        </w:rPr>
        <w:t>（1）环境事件等级；</w:t>
      </w:r>
    </w:p>
    <w:p>
      <w:pPr>
        <w:ind w:firstLine="560"/>
        <w:jc w:val="left"/>
        <w:rPr>
          <w:color w:val="000000"/>
          <w:szCs w:val="24"/>
        </w:rPr>
      </w:pPr>
      <w:r>
        <w:rPr>
          <w:color w:val="000000"/>
          <w:szCs w:val="24"/>
        </w:rPr>
        <w:t>（2）环境应急总任务及部分任务完成情况；</w:t>
      </w:r>
    </w:p>
    <w:p>
      <w:pPr>
        <w:ind w:firstLine="560"/>
        <w:jc w:val="left"/>
        <w:rPr>
          <w:color w:val="000000"/>
          <w:szCs w:val="24"/>
        </w:rPr>
      </w:pPr>
      <w:r>
        <w:rPr>
          <w:color w:val="000000"/>
          <w:szCs w:val="24"/>
        </w:rPr>
        <w:t>（3）是否符合保护公众、保护环境的总要求；</w:t>
      </w:r>
    </w:p>
    <w:p>
      <w:pPr>
        <w:ind w:firstLine="560"/>
        <w:jc w:val="left"/>
        <w:rPr>
          <w:color w:val="000000"/>
          <w:szCs w:val="24"/>
        </w:rPr>
      </w:pPr>
      <w:r>
        <w:rPr>
          <w:color w:val="000000"/>
          <w:szCs w:val="24"/>
        </w:rPr>
        <w:t>（4）采取的重要防护措施与方法是否得当；</w:t>
      </w:r>
    </w:p>
    <w:p>
      <w:pPr>
        <w:ind w:firstLine="560"/>
        <w:jc w:val="left"/>
        <w:rPr>
          <w:color w:val="000000"/>
          <w:szCs w:val="24"/>
        </w:rPr>
      </w:pPr>
      <w:r>
        <w:rPr>
          <w:color w:val="000000"/>
          <w:szCs w:val="24"/>
        </w:rPr>
        <w:t>（5）出动环境应急队伍的规模、仪器装备的使用、响应程度是否与任务相适应；</w:t>
      </w:r>
    </w:p>
    <w:p>
      <w:pPr>
        <w:ind w:firstLine="560"/>
        <w:jc w:val="left"/>
        <w:rPr>
          <w:color w:val="000000"/>
          <w:szCs w:val="24"/>
        </w:rPr>
      </w:pPr>
      <w:r>
        <w:rPr>
          <w:color w:val="000000"/>
          <w:szCs w:val="24"/>
        </w:rPr>
        <w:t>（6）信息的采集、汇总、上报是否正确、及时；</w:t>
      </w:r>
    </w:p>
    <w:p>
      <w:pPr>
        <w:ind w:firstLine="560"/>
        <w:jc w:val="left"/>
        <w:rPr>
          <w:color w:val="000000"/>
          <w:szCs w:val="24"/>
        </w:rPr>
      </w:pPr>
      <w:r>
        <w:rPr>
          <w:color w:val="000000"/>
          <w:szCs w:val="24"/>
        </w:rPr>
        <w:t>（7）好的做法、措施或存在的问题、漏洞；</w:t>
      </w:r>
    </w:p>
    <w:p>
      <w:pPr>
        <w:ind w:firstLine="560"/>
        <w:jc w:val="left"/>
        <w:rPr>
          <w:color w:val="000000"/>
          <w:szCs w:val="24"/>
        </w:rPr>
      </w:pPr>
      <w:r>
        <w:rPr>
          <w:color w:val="000000"/>
          <w:szCs w:val="24"/>
        </w:rPr>
        <w:t>（8）需要得出的其他结论等。</w:t>
      </w:r>
    </w:p>
    <w:p>
      <w:pPr>
        <w:ind w:firstLine="560"/>
        <w:jc w:val="left"/>
        <w:rPr>
          <w:color w:val="000000"/>
          <w:szCs w:val="24"/>
        </w:rPr>
        <w:sectPr>
          <w:pgSz w:w="11906" w:h="16838"/>
          <w:pgMar w:top="1440" w:right="1803" w:bottom="1440" w:left="1803" w:header="851" w:footer="391" w:gutter="0"/>
          <w:cols w:space="720" w:num="1"/>
          <w:docGrid w:type="linesAndChars" w:linePitch="312" w:charSpace="0"/>
        </w:sectPr>
      </w:pPr>
      <w:r>
        <w:rPr>
          <w:color w:val="000000"/>
          <w:szCs w:val="24"/>
        </w:rPr>
        <w:t>事件总结应于应急终止后15天内完成，并及时上报环保部门。</w:t>
      </w:r>
    </w:p>
    <w:p>
      <w:pPr>
        <w:pStyle w:val="3"/>
        <w:rPr>
          <w:color w:val="000000"/>
        </w:rPr>
      </w:pPr>
      <w:bookmarkStart w:id="36" w:name="_Toc120195398"/>
      <w:r>
        <w:rPr>
          <w:color w:val="000000"/>
        </w:rPr>
        <w:t>8后期处置</w:t>
      </w:r>
      <w:bookmarkEnd w:id="36"/>
    </w:p>
    <w:p>
      <w:pPr>
        <w:pStyle w:val="4"/>
        <w:rPr>
          <w:color w:val="000000"/>
        </w:rPr>
      </w:pPr>
      <w:bookmarkStart w:id="37" w:name="_Toc120195399"/>
      <w:r>
        <w:rPr>
          <w:color w:val="000000"/>
        </w:rPr>
        <w:t>8.1现场恢复</w:t>
      </w:r>
      <w:bookmarkEnd w:id="37"/>
    </w:p>
    <w:p>
      <w:pPr>
        <w:pStyle w:val="4"/>
        <w:rPr>
          <w:color w:val="000000"/>
        </w:rPr>
      </w:pPr>
      <w:bookmarkStart w:id="38" w:name="_Toc112836373"/>
      <w:bookmarkStart w:id="39" w:name="_Toc117761712"/>
      <w:bookmarkStart w:id="40" w:name="_Toc120195400"/>
      <w:bookmarkStart w:id="41" w:name="_Toc113632198"/>
      <w:r>
        <w:rPr>
          <w:color w:val="000000"/>
        </w:rPr>
        <w:t>8.1.1事件现场的保护措施</w:t>
      </w:r>
      <w:bookmarkEnd w:id="38"/>
      <w:bookmarkEnd w:id="39"/>
      <w:bookmarkEnd w:id="40"/>
      <w:bookmarkEnd w:id="41"/>
    </w:p>
    <w:p>
      <w:pPr>
        <w:ind w:firstLine="560"/>
        <w:jc w:val="left"/>
        <w:rPr>
          <w:color w:val="000000"/>
          <w:szCs w:val="24"/>
        </w:rPr>
      </w:pPr>
      <w:r>
        <w:rPr>
          <w:color w:val="000000"/>
          <w:szCs w:val="24"/>
        </w:rPr>
        <w:t>事件抢险过程中，在不影响抢险的情况下，事件现场的各种设施（包括已损失或未损失的）能不移位的就不移位，必要时采取遮拦或遮盖措施，最好是拍照或摄像保存，特殊情况需移位时要做出标记，并画出草图。抢险过后，要由相关专业组（必要时由外援专业人员配合）采取保护措施，为事件的调查提供依据。安排专门的人员值班，未经许可，任何人不得进入事件现场。严格控制车辆的进入，做好相应的记录。现场处理要有手续，须经指挥部的批准。各种记录要清楚、准确。</w:t>
      </w:r>
    </w:p>
    <w:p>
      <w:pPr>
        <w:pStyle w:val="4"/>
        <w:rPr>
          <w:color w:val="000000"/>
        </w:rPr>
      </w:pPr>
      <w:bookmarkStart w:id="42" w:name="_Toc112836374"/>
      <w:bookmarkStart w:id="43" w:name="_Toc117761713"/>
      <w:bookmarkStart w:id="44" w:name="_Toc113632199"/>
      <w:bookmarkStart w:id="45" w:name="_Toc120195401"/>
      <w:r>
        <w:rPr>
          <w:color w:val="000000"/>
        </w:rPr>
        <w:t>8.1.2确定现场净化方式、方法</w:t>
      </w:r>
      <w:bookmarkEnd w:id="42"/>
      <w:bookmarkEnd w:id="43"/>
      <w:bookmarkEnd w:id="44"/>
      <w:bookmarkEnd w:id="45"/>
    </w:p>
    <w:p>
      <w:pPr>
        <w:ind w:firstLine="560"/>
        <w:jc w:val="left"/>
        <w:rPr>
          <w:color w:val="000000"/>
          <w:szCs w:val="24"/>
        </w:rPr>
      </w:pPr>
      <w:r>
        <w:rPr>
          <w:color w:val="000000"/>
          <w:szCs w:val="24"/>
        </w:rPr>
        <w:t>在应急救援行动即将终止前，应先进行</w:t>
      </w:r>
      <w:r>
        <w:rPr>
          <w:rFonts w:hint="eastAsia"/>
          <w:color w:val="000000"/>
          <w:szCs w:val="24"/>
        </w:rPr>
        <w:t>中和、</w:t>
      </w:r>
      <w:r>
        <w:rPr>
          <w:color w:val="000000"/>
          <w:szCs w:val="24"/>
        </w:rPr>
        <w:t>洗消及净化。环境事件中可能涉及的危险物质泄漏会使现场人员受到污染和伤害，</w:t>
      </w:r>
      <w:r>
        <w:rPr>
          <w:rFonts w:hint="eastAsia"/>
          <w:color w:val="000000"/>
          <w:szCs w:val="24"/>
        </w:rPr>
        <w:t>中和、洗消及净化</w:t>
      </w:r>
      <w:r>
        <w:rPr>
          <w:color w:val="000000"/>
          <w:szCs w:val="24"/>
        </w:rPr>
        <w:t>是应急行动的一个环节，而不是紧急情况结束后的恢复和善后。</w:t>
      </w:r>
    </w:p>
    <w:p>
      <w:pPr>
        <w:pStyle w:val="4"/>
        <w:rPr>
          <w:rFonts w:hint="eastAsia"/>
          <w:color w:val="000000"/>
          <w:lang w:eastAsia="zh-CN"/>
        </w:rPr>
      </w:pPr>
      <w:bookmarkStart w:id="46" w:name="_Toc120195402"/>
      <w:bookmarkStart w:id="47" w:name="_Toc117761714"/>
      <w:bookmarkStart w:id="48" w:name="_Toc113632200"/>
      <w:bookmarkStart w:id="49" w:name="_Toc112836375"/>
      <w:r>
        <w:rPr>
          <w:color w:val="000000"/>
        </w:rPr>
        <w:t>8.1.2.1中和</w:t>
      </w:r>
      <w:bookmarkEnd w:id="46"/>
      <w:bookmarkEnd w:id="47"/>
    </w:p>
    <w:p>
      <w:pPr>
        <w:ind w:firstLine="560"/>
        <w:jc w:val="left"/>
        <w:rPr>
          <w:rFonts w:hint="eastAsia"/>
          <w:color w:val="000000"/>
          <w:szCs w:val="24"/>
        </w:rPr>
      </w:pPr>
      <w:r>
        <w:rPr>
          <w:rFonts w:hint="eastAsia"/>
          <w:color w:val="000000"/>
          <w:szCs w:val="24"/>
        </w:rPr>
        <w:t>本公司主要环境风险物质为盐酸和烧碱液体，采取的中和处理方式具体如下：</w:t>
      </w:r>
    </w:p>
    <w:p>
      <w:pPr>
        <w:ind w:firstLine="560"/>
        <w:jc w:val="left"/>
        <w:rPr>
          <w:rFonts w:hint="eastAsia"/>
          <w:color w:val="000000"/>
          <w:szCs w:val="24"/>
        </w:rPr>
      </w:pPr>
      <w:r>
        <w:rPr>
          <w:rFonts w:hint="eastAsia"/>
          <w:color w:val="000000"/>
          <w:szCs w:val="24"/>
        </w:rPr>
        <w:t>制药</w:t>
      </w:r>
      <w:r>
        <w:rPr>
          <w:color w:val="000000"/>
          <w:szCs w:val="24"/>
        </w:rPr>
        <w:t>一车间</w:t>
      </w:r>
      <w:r>
        <w:rPr>
          <w:rFonts w:hint="eastAsia"/>
          <w:color w:val="000000"/>
          <w:szCs w:val="24"/>
        </w:rPr>
        <w:t>、</w:t>
      </w:r>
      <w:r>
        <w:rPr>
          <w:color w:val="000000"/>
          <w:szCs w:val="24"/>
        </w:rPr>
        <w:t>制药二车间的盐酸输送管道</w:t>
      </w:r>
      <w:r>
        <w:rPr>
          <w:rFonts w:hint="eastAsia"/>
          <w:color w:val="000000"/>
          <w:szCs w:val="24"/>
        </w:rPr>
        <w:t>、阀门等泄漏以及盐酸接驳泄漏，采用消防沙袋围堵后，泵入应急事故罐，采取弱碱中和的方式进行净化泄漏物料。</w:t>
      </w:r>
    </w:p>
    <w:p>
      <w:pPr>
        <w:ind w:firstLine="560"/>
        <w:jc w:val="left"/>
        <w:rPr>
          <w:rFonts w:hint="eastAsia"/>
          <w:color w:val="000000"/>
          <w:szCs w:val="24"/>
        </w:rPr>
      </w:pPr>
      <w:r>
        <w:rPr>
          <w:rFonts w:hint="eastAsia"/>
          <w:color w:val="000000"/>
          <w:szCs w:val="24"/>
        </w:rPr>
        <w:t>烧碱接驳过程发生泄漏，泄漏物料截流在围堰内，采用排污泵将泄漏物料泵入事故罐，采取中和的方式进行净化泄漏物料。</w:t>
      </w:r>
    </w:p>
    <w:p>
      <w:pPr>
        <w:pStyle w:val="4"/>
        <w:rPr>
          <w:color w:val="000000"/>
        </w:rPr>
      </w:pPr>
      <w:bookmarkStart w:id="50" w:name="_Toc117761715"/>
      <w:bookmarkStart w:id="51" w:name="_Toc120195403"/>
      <w:r>
        <w:rPr>
          <w:rFonts w:hint="eastAsia"/>
          <w:color w:val="000000"/>
          <w:lang w:eastAsia="zh-CN"/>
        </w:rPr>
        <w:t>8.1.2.2</w:t>
      </w:r>
      <w:r>
        <w:rPr>
          <w:color w:val="000000"/>
        </w:rPr>
        <w:t>洗消</w:t>
      </w:r>
      <w:bookmarkEnd w:id="48"/>
      <w:bookmarkEnd w:id="49"/>
      <w:bookmarkEnd w:id="50"/>
      <w:bookmarkEnd w:id="51"/>
    </w:p>
    <w:p>
      <w:pPr>
        <w:ind w:firstLine="560"/>
        <w:jc w:val="left"/>
        <w:rPr>
          <w:color w:val="000000"/>
          <w:szCs w:val="24"/>
        </w:rPr>
      </w:pPr>
      <w:r>
        <w:rPr>
          <w:color w:val="000000"/>
          <w:szCs w:val="24"/>
        </w:rPr>
        <w:t>本企业各功能单元的环境风险物质差别较大，生产车间</w:t>
      </w:r>
      <w:r>
        <w:rPr>
          <w:rFonts w:hint="eastAsia"/>
          <w:color w:val="000000"/>
          <w:szCs w:val="24"/>
        </w:rPr>
        <w:t>、</w:t>
      </w:r>
      <w:r>
        <w:rPr>
          <w:color w:val="000000"/>
          <w:szCs w:val="24"/>
        </w:rPr>
        <w:t>罐区均是以无机物为主，可采用一般洗消方式。</w:t>
      </w:r>
    </w:p>
    <w:p>
      <w:pPr>
        <w:ind w:firstLine="560"/>
        <w:jc w:val="left"/>
        <w:rPr>
          <w:color w:val="000000"/>
          <w:szCs w:val="24"/>
        </w:rPr>
      </w:pPr>
      <w:r>
        <w:rPr>
          <w:color w:val="000000"/>
          <w:szCs w:val="24"/>
        </w:rPr>
        <w:t>根据抢险后事故现场的具体情况，洗消去污可以采用以下几种方法：</w:t>
      </w:r>
    </w:p>
    <w:p>
      <w:pPr>
        <w:ind w:firstLine="560"/>
        <w:jc w:val="left"/>
        <w:rPr>
          <w:color w:val="000000"/>
          <w:szCs w:val="24"/>
        </w:rPr>
      </w:pPr>
      <w:r>
        <w:rPr>
          <w:color w:val="000000"/>
          <w:szCs w:val="24"/>
        </w:rPr>
        <w:t>（1）稀释。用水、清洗液稀释现场抢险后地面</w:t>
      </w:r>
      <w:r>
        <w:rPr>
          <w:rFonts w:hint="eastAsia"/>
          <w:color w:val="000000"/>
          <w:szCs w:val="24"/>
        </w:rPr>
        <w:t>残留</w:t>
      </w:r>
      <w:r>
        <w:rPr>
          <w:color w:val="000000"/>
          <w:szCs w:val="24"/>
        </w:rPr>
        <w:t>物料。</w:t>
      </w:r>
    </w:p>
    <w:p>
      <w:pPr>
        <w:ind w:firstLine="560"/>
        <w:jc w:val="left"/>
        <w:rPr>
          <w:color w:val="000000"/>
          <w:szCs w:val="24"/>
        </w:rPr>
      </w:pPr>
      <w:r>
        <w:rPr>
          <w:color w:val="000000"/>
          <w:szCs w:val="24"/>
        </w:rPr>
        <w:t>（2）处理。对应急行动工作人员使用过后衣服、工具、设备进行处理。</w:t>
      </w:r>
    </w:p>
    <w:p>
      <w:pPr>
        <w:ind w:firstLine="560"/>
        <w:jc w:val="left"/>
        <w:rPr>
          <w:color w:val="000000"/>
          <w:szCs w:val="24"/>
        </w:rPr>
      </w:pPr>
      <w:r>
        <w:rPr>
          <w:color w:val="000000"/>
          <w:szCs w:val="24"/>
        </w:rPr>
        <w:t>（</w:t>
      </w:r>
      <w:r>
        <w:rPr>
          <w:rFonts w:hint="eastAsia"/>
          <w:color w:val="000000"/>
          <w:szCs w:val="24"/>
        </w:rPr>
        <w:t>3</w:t>
      </w:r>
      <w:r>
        <w:rPr>
          <w:color w:val="000000"/>
          <w:szCs w:val="24"/>
        </w:rPr>
        <w:t>）中和。中和一般不直接应用于人体，一般可用</w:t>
      </w:r>
      <w:r>
        <w:rPr>
          <w:rFonts w:hint="eastAsia"/>
          <w:color w:val="000000"/>
          <w:szCs w:val="24"/>
        </w:rPr>
        <w:t>弱</w:t>
      </w:r>
      <w:r>
        <w:rPr>
          <w:color w:val="000000"/>
          <w:szCs w:val="24"/>
        </w:rPr>
        <w:t>碱、</w:t>
      </w:r>
      <w:r>
        <w:rPr>
          <w:rFonts w:hint="eastAsia"/>
          <w:color w:val="000000"/>
          <w:szCs w:val="24"/>
        </w:rPr>
        <w:t>弱酸</w:t>
      </w:r>
      <w:r>
        <w:rPr>
          <w:color w:val="000000"/>
          <w:szCs w:val="24"/>
        </w:rPr>
        <w:t>、漂白剂等用于衣服、设备和受污染环境的清洗。</w:t>
      </w:r>
    </w:p>
    <w:p>
      <w:pPr>
        <w:ind w:firstLine="560"/>
        <w:jc w:val="left"/>
        <w:rPr>
          <w:color w:val="000000"/>
          <w:szCs w:val="24"/>
        </w:rPr>
      </w:pPr>
      <w:r>
        <w:rPr>
          <w:color w:val="000000"/>
          <w:szCs w:val="24"/>
        </w:rPr>
        <w:t>（</w:t>
      </w:r>
      <w:r>
        <w:rPr>
          <w:rFonts w:hint="eastAsia"/>
          <w:color w:val="000000"/>
          <w:szCs w:val="24"/>
        </w:rPr>
        <w:t>4</w:t>
      </w:r>
      <w:r>
        <w:rPr>
          <w:color w:val="000000"/>
          <w:szCs w:val="24"/>
        </w:rPr>
        <w:t>）吸附。可用吸附剂吸收污染物，但吸附剂使用后要回收、处理。</w:t>
      </w:r>
    </w:p>
    <w:p>
      <w:pPr>
        <w:ind w:firstLine="560"/>
        <w:jc w:val="left"/>
        <w:rPr>
          <w:rFonts w:hint="eastAsia"/>
          <w:color w:val="000000"/>
          <w:szCs w:val="24"/>
        </w:rPr>
      </w:pPr>
      <w:r>
        <w:rPr>
          <w:color w:val="000000"/>
          <w:szCs w:val="24"/>
        </w:rPr>
        <w:t>（</w:t>
      </w:r>
      <w:r>
        <w:rPr>
          <w:rFonts w:hint="eastAsia"/>
          <w:color w:val="000000"/>
          <w:szCs w:val="24"/>
        </w:rPr>
        <w:t>5</w:t>
      </w:r>
      <w:r>
        <w:rPr>
          <w:color w:val="000000"/>
          <w:szCs w:val="24"/>
        </w:rPr>
        <w:t>）隔离。隔离需要全部隔离或把现场受污染环境全部围起来以免污染扩散，污染物质要待以后处理。</w:t>
      </w:r>
    </w:p>
    <w:p>
      <w:pPr>
        <w:pStyle w:val="4"/>
        <w:rPr>
          <w:color w:val="000000"/>
        </w:rPr>
      </w:pPr>
      <w:bookmarkStart w:id="52" w:name="_Toc113632201"/>
      <w:bookmarkStart w:id="53" w:name="_Toc117761716"/>
      <w:bookmarkStart w:id="54" w:name="_Toc120195404"/>
      <w:bookmarkStart w:id="55" w:name="_Toc112836376"/>
      <w:r>
        <w:rPr>
          <w:color w:val="000000"/>
        </w:rPr>
        <w:t>8.1.2.</w:t>
      </w:r>
      <w:r>
        <w:rPr>
          <w:rFonts w:hint="eastAsia"/>
          <w:color w:val="000000"/>
          <w:lang w:eastAsia="zh-CN"/>
        </w:rPr>
        <w:t>3</w:t>
      </w:r>
      <w:r>
        <w:rPr>
          <w:color w:val="000000"/>
        </w:rPr>
        <w:t>净化</w:t>
      </w:r>
      <w:bookmarkEnd w:id="52"/>
      <w:bookmarkEnd w:id="53"/>
      <w:bookmarkEnd w:id="54"/>
      <w:bookmarkEnd w:id="55"/>
    </w:p>
    <w:p>
      <w:pPr>
        <w:ind w:firstLine="560"/>
        <w:jc w:val="left"/>
        <w:rPr>
          <w:color w:val="000000"/>
          <w:szCs w:val="24"/>
        </w:rPr>
      </w:pPr>
      <w:r>
        <w:rPr>
          <w:color w:val="000000"/>
          <w:szCs w:val="24"/>
        </w:rPr>
        <w:t>（1）少量残留液体，用干砂土、煤灰</w:t>
      </w:r>
      <w:r>
        <w:rPr>
          <w:rFonts w:hint="eastAsia"/>
          <w:color w:val="000000"/>
          <w:szCs w:val="24"/>
        </w:rPr>
        <w:t>、</w:t>
      </w:r>
      <w:r>
        <w:rPr>
          <w:color w:val="000000"/>
          <w:szCs w:val="24"/>
        </w:rPr>
        <w:t>消防沙等吸附，收集后做技术处理；在污染地面上洒上中和或洗涤剂浸洗，然后用大量直流水清扫现场，特别是低洼、沟渠等处，确保不留残液。</w:t>
      </w:r>
    </w:p>
    <w:p>
      <w:pPr>
        <w:ind w:firstLine="560"/>
        <w:jc w:val="left"/>
        <w:rPr>
          <w:color w:val="000000"/>
          <w:szCs w:val="24"/>
        </w:rPr>
      </w:pPr>
      <w:r>
        <w:rPr>
          <w:color w:val="000000"/>
          <w:szCs w:val="24"/>
        </w:rPr>
        <w:t>（2）现场环境检测合格后，清点人员、车辆及器材。</w:t>
      </w:r>
    </w:p>
    <w:p>
      <w:pPr>
        <w:ind w:firstLine="560"/>
        <w:jc w:val="left"/>
        <w:rPr>
          <w:color w:val="000000"/>
          <w:szCs w:val="24"/>
        </w:rPr>
      </w:pPr>
      <w:r>
        <w:rPr>
          <w:color w:val="000000"/>
          <w:szCs w:val="24"/>
        </w:rPr>
        <w:t>（3）撤除警戒，做好移交，安全撤离。</w:t>
      </w:r>
    </w:p>
    <w:p>
      <w:pPr>
        <w:pStyle w:val="4"/>
        <w:rPr>
          <w:color w:val="000000"/>
        </w:rPr>
      </w:pPr>
      <w:bookmarkStart w:id="56" w:name="_Toc112836377"/>
      <w:bookmarkStart w:id="57" w:name="_Toc120195405"/>
      <w:bookmarkStart w:id="58" w:name="_Toc117761717"/>
      <w:bookmarkStart w:id="59" w:name="_Toc113632202"/>
      <w:r>
        <w:rPr>
          <w:color w:val="000000"/>
        </w:rPr>
        <w:t>8.1.3明确事件现场洗消工作的负责人和专业队伍</w:t>
      </w:r>
      <w:bookmarkEnd w:id="56"/>
      <w:bookmarkEnd w:id="57"/>
      <w:bookmarkEnd w:id="58"/>
      <w:bookmarkEnd w:id="59"/>
    </w:p>
    <w:p>
      <w:pPr>
        <w:ind w:firstLine="560"/>
        <w:jc w:val="left"/>
        <w:rPr>
          <w:color w:val="000000"/>
          <w:szCs w:val="24"/>
        </w:rPr>
      </w:pPr>
      <w:r>
        <w:rPr>
          <w:color w:val="000000"/>
          <w:szCs w:val="24"/>
        </w:rPr>
        <w:t>较大事件发生后，事件现场洗消工作一定要由专业消防人员进行，其负责人要有专业资质，洗消队伍必须装备齐全。</w:t>
      </w:r>
    </w:p>
    <w:p>
      <w:pPr>
        <w:ind w:firstLine="560"/>
        <w:jc w:val="left"/>
        <w:rPr>
          <w:color w:val="000000"/>
          <w:szCs w:val="24"/>
        </w:rPr>
      </w:pPr>
      <w:r>
        <w:rPr>
          <w:color w:val="000000"/>
          <w:szCs w:val="24"/>
        </w:rPr>
        <w:t>（1）洗消队伍主要聘请专业洗消队伍。</w:t>
      </w:r>
    </w:p>
    <w:p>
      <w:pPr>
        <w:ind w:firstLine="560"/>
        <w:jc w:val="left"/>
        <w:rPr>
          <w:color w:val="000000"/>
          <w:szCs w:val="24"/>
        </w:rPr>
      </w:pPr>
      <w:r>
        <w:rPr>
          <w:color w:val="000000"/>
          <w:szCs w:val="24"/>
        </w:rPr>
        <w:t>（2）对受污染人员（包括轻度中毒的人员、重度中毒人员在送往医院治疗之前、现场医务人员、群众自救人员、消防及其他抢险人员）进行清洗消毒；对抢救设备及其他染毒器具进行消毒；针对泄漏物的特性选用针对性药剂。对进入事件区的救援队员要加强个人防护，配带正压呼吸器、穿着全封闭式防化服，逐一进行登记。严格执行救援方案，避免产生次生灾害。</w:t>
      </w:r>
    </w:p>
    <w:p>
      <w:pPr>
        <w:pStyle w:val="4"/>
        <w:rPr>
          <w:color w:val="000000"/>
        </w:rPr>
      </w:pPr>
      <w:bookmarkStart w:id="60" w:name="_Toc113632203"/>
      <w:bookmarkStart w:id="61" w:name="_Toc112836378"/>
      <w:bookmarkStart w:id="62" w:name="_Toc120195406"/>
      <w:bookmarkStart w:id="63" w:name="_Toc117761718"/>
      <w:r>
        <w:rPr>
          <w:color w:val="000000"/>
        </w:rPr>
        <w:t>8.1.4 洗消后的二次污染的防治方案及处置措施</w:t>
      </w:r>
      <w:bookmarkEnd w:id="60"/>
      <w:bookmarkEnd w:id="61"/>
      <w:bookmarkEnd w:id="62"/>
      <w:bookmarkEnd w:id="63"/>
    </w:p>
    <w:p>
      <w:pPr>
        <w:ind w:firstLine="560"/>
        <w:jc w:val="left"/>
        <w:rPr>
          <w:color w:val="000000"/>
          <w:szCs w:val="24"/>
        </w:rPr>
      </w:pPr>
      <w:r>
        <w:rPr>
          <w:color w:val="000000"/>
          <w:szCs w:val="24"/>
        </w:rPr>
        <w:t>环境事件现场洗消后，要防止二次污染，制定二次污染防治对策与措施，确保无二次污染事件发生，并确认污染事件处理彻底，不会有二次污染事件发生的现象。</w:t>
      </w:r>
    </w:p>
    <w:p>
      <w:pPr>
        <w:ind w:firstLine="560"/>
        <w:jc w:val="left"/>
        <w:rPr>
          <w:color w:val="000000"/>
          <w:szCs w:val="24"/>
        </w:rPr>
      </w:pPr>
      <w:r>
        <w:rPr>
          <w:color w:val="000000"/>
          <w:szCs w:val="24"/>
        </w:rPr>
        <w:t>水体处理：对受污染的设备、物质、器材和地面进行清洗后的废水和现场的危险化学品进行收集，收集后按性质进行选择处理办法。</w:t>
      </w:r>
    </w:p>
    <w:p>
      <w:pPr>
        <w:ind w:firstLine="560"/>
        <w:jc w:val="left"/>
        <w:rPr>
          <w:color w:val="000000"/>
          <w:szCs w:val="24"/>
        </w:rPr>
      </w:pPr>
      <w:r>
        <w:rPr>
          <w:color w:val="000000"/>
          <w:szCs w:val="24"/>
        </w:rPr>
        <w:t>固体废物的处理：将污染物的土壤和固废共同收集到容器中，按性质选择处理方法，公司内不能处理的统一交给相关部门进行处理。</w:t>
      </w:r>
    </w:p>
    <w:p>
      <w:pPr>
        <w:ind w:firstLine="560"/>
        <w:jc w:val="left"/>
        <w:rPr>
          <w:color w:val="000000"/>
          <w:szCs w:val="24"/>
        </w:rPr>
      </w:pPr>
      <w:r>
        <w:rPr>
          <w:color w:val="000000"/>
          <w:szCs w:val="24"/>
        </w:rPr>
        <w:t>对于在洗消过程中产生的污水可选择用沙子、吸附材料、中和材料等进行围堵，之后用泵将泄漏物、洗消污水抽入容器内，妥善处理产生的洗消污水。</w:t>
      </w:r>
    </w:p>
    <w:p>
      <w:pPr>
        <w:ind w:firstLine="560"/>
        <w:jc w:val="left"/>
        <w:rPr>
          <w:color w:val="000000"/>
          <w:szCs w:val="24"/>
        </w:rPr>
      </w:pPr>
      <w:r>
        <w:rPr>
          <w:color w:val="000000"/>
          <w:szCs w:val="24"/>
        </w:rPr>
        <w:t>堵住泄漏源，构筑围挡，用沙土掩埋并集中清理，或者构筑围挡后，如发生酸碱泄漏，用公司现有酸、碱液进行中和，也可以用大量水冲洗，经稀释的废水进行回收集中处理。</w:t>
      </w:r>
    </w:p>
    <w:p>
      <w:pPr>
        <w:ind w:firstLine="560"/>
        <w:jc w:val="left"/>
        <w:rPr>
          <w:color w:val="000000"/>
          <w:szCs w:val="24"/>
        </w:rPr>
      </w:pPr>
      <w:r>
        <w:rPr>
          <w:rFonts w:hint="eastAsia"/>
          <w:color w:val="000000"/>
          <w:szCs w:val="24"/>
        </w:rPr>
        <w:t>①</w:t>
      </w:r>
      <w:r>
        <w:rPr>
          <w:color w:val="000000"/>
          <w:szCs w:val="24"/>
        </w:rPr>
        <w:t>关闭事件单位的雨水阀，避免污染物流入雨水管网进入外环境。</w:t>
      </w:r>
    </w:p>
    <w:p>
      <w:pPr>
        <w:ind w:firstLine="560"/>
        <w:jc w:val="left"/>
        <w:rPr>
          <w:color w:val="000000"/>
          <w:szCs w:val="24"/>
        </w:rPr>
      </w:pPr>
      <w:r>
        <w:rPr>
          <w:rFonts w:hint="eastAsia"/>
          <w:color w:val="000000"/>
          <w:szCs w:val="24"/>
        </w:rPr>
        <w:t>②</w:t>
      </w:r>
      <w:r>
        <w:rPr>
          <w:color w:val="000000"/>
          <w:szCs w:val="24"/>
        </w:rPr>
        <w:t>将可能污染的废水全部控制在厂区内，避免进一步扩大污染范围。</w:t>
      </w:r>
    </w:p>
    <w:p>
      <w:pPr>
        <w:ind w:firstLine="560"/>
        <w:jc w:val="left"/>
        <w:rPr>
          <w:color w:val="000000"/>
          <w:szCs w:val="24"/>
        </w:rPr>
      </w:pPr>
      <w:r>
        <w:rPr>
          <w:rFonts w:hint="eastAsia"/>
          <w:color w:val="000000"/>
          <w:szCs w:val="24"/>
        </w:rPr>
        <w:t>③</w:t>
      </w:r>
      <w:r>
        <w:rPr>
          <w:color w:val="000000"/>
          <w:szCs w:val="24"/>
        </w:rPr>
        <w:t>充分备好处理泄漏物、消解和吸收污染物的化学品物资如砂土等。</w:t>
      </w:r>
    </w:p>
    <w:p>
      <w:pPr>
        <w:pStyle w:val="4"/>
        <w:rPr>
          <w:color w:val="000000"/>
        </w:rPr>
      </w:pPr>
      <w:bookmarkStart w:id="64" w:name="_Toc120195407"/>
      <w:r>
        <w:rPr>
          <w:color w:val="000000"/>
        </w:rPr>
        <w:t>8.2环境恢复</w:t>
      </w:r>
      <w:bookmarkEnd w:id="64"/>
    </w:p>
    <w:p>
      <w:pPr>
        <w:ind w:firstLine="560"/>
        <w:jc w:val="left"/>
        <w:rPr>
          <w:color w:val="000000"/>
          <w:szCs w:val="24"/>
        </w:rPr>
      </w:pPr>
      <w:r>
        <w:rPr>
          <w:color w:val="000000"/>
          <w:szCs w:val="24"/>
        </w:rPr>
        <w:t>应急终止后，总指挥组织相关人员到现场勘查，对事故地的现场及周围的水源、生态环境等进行检查，组织专家对受影响的生态环境提出恢复措施和方案恢复周边生态环境，加强生态环境治理措施，确保在一定期限内恢复环境平衡。</w:t>
      </w:r>
    </w:p>
    <w:p>
      <w:pPr>
        <w:pStyle w:val="4"/>
        <w:rPr>
          <w:color w:val="000000"/>
        </w:rPr>
      </w:pPr>
      <w:bookmarkStart w:id="65" w:name="_Toc120195408"/>
      <w:r>
        <w:rPr>
          <w:color w:val="000000"/>
        </w:rPr>
        <w:t>8.3善后赔偿</w:t>
      </w:r>
      <w:bookmarkEnd w:id="65"/>
    </w:p>
    <w:p>
      <w:pPr>
        <w:pStyle w:val="4"/>
        <w:rPr>
          <w:color w:val="000000"/>
        </w:rPr>
      </w:pPr>
      <w:bookmarkStart w:id="66" w:name="_Toc117761721"/>
      <w:bookmarkStart w:id="67" w:name="_Toc112836381"/>
      <w:bookmarkStart w:id="68" w:name="_Toc113632206"/>
      <w:bookmarkStart w:id="69" w:name="_Toc120195409"/>
      <w:r>
        <w:rPr>
          <w:color w:val="000000"/>
        </w:rPr>
        <w:t>8.3.1善后处置</w:t>
      </w:r>
      <w:bookmarkEnd w:id="66"/>
      <w:bookmarkEnd w:id="67"/>
      <w:bookmarkEnd w:id="68"/>
      <w:bookmarkEnd w:id="69"/>
    </w:p>
    <w:p>
      <w:pPr>
        <w:ind w:firstLine="560"/>
        <w:jc w:val="left"/>
        <w:rPr>
          <w:color w:val="000000"/>
          <w:szCs w:val="24"/>
        </w:rPr>
      </w:pPr>
      <w:r>
        <w:rPr>
          <w:color w:val="000000"/>
          <w:szCs w:val="24"/>
        </w:rPr>
        <w:t>（1）在突发环境事件中致病、致残、死亡的人员，给予相应的补助和抚恤。</w:t>
      </w:r>
    </w:p>
    <w:p>
      <w:pPr>
        <w:ind w:firstLine="560"/>
        <w:jc w:val="left"/>
        <w:rPr>
          <w:color w:val="000000"/>
          <w:szCs w:val="24"/>
        </w:rPr>
      </w:pPr>
      <w:r>
        <w:rPr>
          <w:color w:val="000000"/>
          <w:szCs w:val="24"/>
        </w:rPr>
        <w:t>（2）对提供安置场所、应急物资的所有人给予适当补偿。</w:t>
      </w:r>
    </w:p>
    <w:p>
      <w:pPr>
        <w:ind w:firstLine="560"/>
        <w:jc w:val="left"/>
        <w:rPr>
          <w:color w:val="000000"/>
          <w:szCs w:val="24"/>
        </w:rPr>
      </w:pPr>
      <w:r>
        <w:rPr>
          <w:color w:val="000000"/>
          <w:szCs w:val="24"/>
        </w:rPr>
        <w:t>（3）指挥部应积极组织进行突发环境事件现场清理工作，使事发现场恢复到相对稳定、安全的基本状态，防止发生二次污染事件。</w:t>
      </w:r>
    </w:p>
    <w:p>
      <w:pPr>
        <w:ind w:firstLine="560"/>
        <w:jc w:val="left"/>
        <w:rPr>
          <w:color w:val="000000"/>
          <w:szCs w:val="24"/>
        </w:rPr>
      </w:pPr>
      <w:r>
        <w:rPr>
          <w:color w:val="000000"/>
          <w:szCs w:val="24"/>
        </w:rPr>
        <w:t>（4）指挥部应采取有效措施，确保受灾群众的正常生活。</w:t>
      </w:r>
    </w:p>
    <w:p>
      <w:pPr>
        <w:pStyle w:val="4"/>
        <w:rPr>
          <w:color w:val="000000"/>
        </w:rPr>
      </w:pPr>
      <w:bookmarkStart w:id="70" w:name="_Toc117761722"/>
      <w:bookmarkStart w:id="71" w:name="_Toc120195410"/>
      <w:bookmarkStart w:id="72" w:name="_Toc112836382"/>
      <w:bookmarkStart w:id="73" w:name="_Toc113632207"/>
      <w:r>
        <w:rPr>
          <w:color w:val="000000"/>
        </w:rPr>
        <w:t>8.3.2保险</w:t>
      </w:r>
      <w:bookmarkEnd w:id="70"/>
      <w:bookmarkEnd w:id="71"/>
      <w:bookmarkEnd w:id="72"/>
      <w:bookmarkEnd w:id="73"/>
    </w:p>
    <w:p>
      <w:pPr>
        <w:ind w:firstLine="560"/>
        <w:jc w:val="left"/>
        <w:rPr>
          <w:color w:val="000000"/>
          <w:szCs w:val="24"/>
        </w:rPr>
      </w:pPr>
      <w:r>
        <w:rPr>
          <w:color w:val="000000"/>
          <w:szCs w:val="24"/>
        </w:rPr>
        <w:t>环境污染事件发生后，通知保险机构在第一时间对事件造成的损失进行评估、审核和确认，根据保险条例进行理赔。</w:t>
      </w:r>
    </w:p>
    <w:p>
      <w:pPr>
        <w:ind w:firstLine="560"/>
        <w:jc w:val="left"/>
        <w:rPr>
          <w:color w:val="000000"/>
          <w:szCs w:val="24"/>
        </w:rPr>
      </w:pPr>
      <w:r>
        <w:rPr>
          <w:color w:val="000000"/>
          <w:szCs w:val="24"/>
        </w:rPr>
        <w:t>（1）财务部、人事部在应急终止后，联系保险公司进行理赔。</w:t>
      </w:r>
    </w:p>
    <w:p>
      <w:pPr>
        <w:ind w:firstLine="560"/>
        <w:jc w:val="left"/>
        <w:rPr>
          <w:color w:val="000000"/>
          <w:szCs w:val="24"/>
        </w:rPr>
      </w:pPr>
      <w:r>
        <w:rPr>
          <w:color w:val="000000"/>
          <w:szCs w:val="24"/>
        </w:rPr>
        <w:t>（2）安全部、人事部在事件调查结束后，联系市人力资源和社会保障局进行工伤保险理赔。</w:t>
      </w:r>
    </w:p>
    <w:p>
      <w:pPr>
        <w:ind w:firstLine="560"/>
        <w:jc w:val="left"/>
        <w:rPr>
          <w:color w:val="000000"/>
          <w:szCs w:val="24"/>
        </w:rPr>
      </w:pPr>
      <w:r>
        <w:rPr>
          <w:color w:val="000000"/>
          <w:szCs w:val="24"/>
        </w:rPr>
        <w:t>（3）应急救援结束后，总指挥应确定公司代表、人事部、工会等职能部门人员组成伤害理赔小组，负责理赔工作。</w:t>
      </w:r>
    </w:p>
    <w:p>
      <w:pPr>
        <w:ind w:firstLine="0" w:firstLineChars="0"/>
        <w:jc w:val="left"/>
        <w:rPr>
          <w:color w:val="000000"/>
          <w:szCs w:val="24"/>
        </w:rPr>
      </w:pPr>
    </w:p>
    <w:p>
      <w:pPr>
        <w:ind w:firstLine="0" w:firstLineChars="0"/>
        <w:jc w:val="left"/>
        <w:rPr>
          <w:color w:val="000000"/>
          <w:szCs w:val="24"/>
        </w:rPr>
        <w:sectPr>
          <w:headerReference r:id="rId10" w:type="default"/>
          <w:footerReference r:id="rId11" w:type="default"/>
          <w:pgSz w:w="11906" w:h="16838"/>
          <w:pgMar w:top="1440" w:right="1803" w:bottom="1440" w:left="1803" w:header="851" w:footer="391" w:gutter="0"/>
          <w:cols w:space="720" w:num="1"/>
          <w:docGrid w:type="linesAndChars" w:linePitch="312" w:charSpace="0"/>
        </w:sectPr>
      </w:pPr>
    </w:p>
    <w:p>
      <w:pPr>
        <w:pStyle w:val="3"/>
        <w:rPr>
          <w:color w:val="000000"/>
        </w:rPr>
      </w:pPr>
      <w:bookmarkStart w:id="74" w:name="_Toc120195411"/>
      <w:r>
        <w:rPr>
          <w:color w:val="000000"/>
        </w:rPr>
        <w:t>9应急培训与演练</w:t>
      </w:r>
      <w:bookmarkEnd w:id="74"/>
    </w:p>
    <w:p>
      <w:pPr>
        <w:pStyle w:val="4"/>
        <w:rPr>
          <w:color w:val="000000"/>
        </w:rPr>
      </w:pPr>
      <w:bookmarkStart w:id="75" w:name="_Toc120195412"/>
      <w:r>
        <w:rPr>
          <w:color w:val="000000"/>
        </w:rPr>
        <w:t>9.1应急培训</w:t>
      </w:r>
      <w:bookmarkEnd w:id="75"/>
    </w:p>
    <w:p>
      <w:pPr>
        <w:ind w:firstLine="560"/>
        <w:jc w:val="left"/>
        <w:rPr>
          <w:color w:val="000000"/>
          <w:szCs w:val="24"/>
        </w:rPr>
      </w:pPr>
      <w:r>
        <w:rPr>
          <w:color w:val="000000"/>
          <w:szCs w:val="24"/>
        </w:rPr>
        <w:t>（1）企业员工每年至少参加 1 次应急处置基本知识培训且总培训时间不少2小时，培训内容包括不同岗位可能发生事故的应急处置步骤；发生事故时的报告方式；不同级别相应的应急动作；安全撤离的方式和集合地点等。企业除常规定期培训外还应该关注新员工的入职培训，做的应急处置基本知识培训全面覆盖。</w:t>
      </w:r>
    </w:p>
    <w:p>
      <w:pPr>
        <w:ind w:firstLine="560"/>
        <w:jc w:val="left"/>
        <w:rPr>
          <w:color w:val="000000"/>
          <w:szCs w:val="24"/>
        </w:rPr>
      </w:pPr>
      <w:r>
        <w:rPr>
          <w:color w:val="000000"/>
          <w:szCs w:val="24"/>
        </w:rPr>
        <w:t>（2）设立台帐表格，进行完善的记录存档，每次应急培训要做好记录。</w:t>
      </w:r>
    </w:p>
    <w:p>
      <w:pPr>
        <w:ind w:firstLine="560"/>
        <w:jc w:val="left"/>
        <w:rPr>
          <w:color w:val="000000"/>
          <w:szCs w:val="24"/>
        </w:rPr>
      </w:pPr>
      <w:r>
        <w:rPr>
          <w:color w:val="000000"/>
          <w:szCs w:val="24"/>
        </w:rPr>
        <w:t>（3）记录内容包括：培训的时间、地点、参加培训人员、培训方式、培训内容等。</w:t>
      </w:r>
    </w:p>
    <w:p>
      <w:pPr>
        <w:ind w:firstLine="0" w:firstLineChars="0"/>
        <w:jc w:val="left"/>
        <w:rPr>
          <w:color w:val="000000"/>
          <w:szCs w:val="24"/>
        </w:rPr>
      </w:pPr>
      <w:r>
        <w:rPr>
          <w:color w:val="000000"/>
          <w:szCs w:val="24"/>
        </w:rPr>
        <w:tab/>
      </w:r>
      <w:r>
        <w:rPr>
          <w:color w:val="000000"/>
          <w:szCs w:val="24"/>
        </w:rPr>
        <w:t xml:space="preserve">                 表9.1-1  培训记录表</w:t>
      </w:r>
    </w:p>
    <w:tbl>
      <w:tblPr>
        <w:tblStyle w:val="11"/>
        <w:tblW w:w="8886" w:type="dxa"/>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56"/>
        <w:gridCol w:w="797"/>
        <w:gridCol w:w="1328"/>
        <w:gridCol w:w="796"/>
        <w:gridCol w:w="563"/>
        <w:gridCol w:w="172"/>
        <w:gridCol w:w="794"/>
        <w:gridCol w:w="783"/>
        <w:gridCol w:w="1359"/>
        <w:gridCol w:w="781"/>
        <w:gridCol w:w="75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4" w:hRule="exact"/>
        </w:trPr>
        <w:tc>
          <w:tcPr>
            <w:tcW w:w="4240" w:type="dxa"/>
            <w:gridSpan w:val="5"/>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培训目的：</w:t>
            </w:r>
          </w:p>
        </w:tc>
        <w:tc>
          <w:tcPr>
            <w:tcW w:w="4645" w:type="dxa"/>
            <w:gridSpan w:val="6"/>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培训日期：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5" w:hRule="exact"/>
        </w:trPr>
        <w:tc>
          <w:tcPr>
            <w:tcW w:w="4240" w:type="dxa"/>
            <w:gridSpan w:val="5"/>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培训教师：</w:t>
            </w:r>
          </w:p>
        </w:tc>
        <w:tc>
          <w:tcPr>
            <w:tcW w:w="4645" w:type="dxa"/>
            <w:gridSpan w:val="6"/>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培训地点：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trPr>
        <w:tc>
          <w:tcPr>
            <w:tcW w:w="8885" w:type="dxa"/>
            <w:gridSpan w:val="11"/>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考试方式：□考试□口试□现场提问□实际操作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5" w:hRule="exact"/>
        </w:trPr>
        <w:tc>
          <w:tcPr>
            <w:tcW w:w="8885" w:type="dxa"/>
            <w:gridSpan w:val="11"/>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培训参加人员签到记录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756" w:type="dxa"/>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序号</w:t>
            </w:r>
          </w:p>
        </w:tc>
        <w:tc>
          <w:tcPr>
            <w:tcW w:w="797" w:type="dxa"/>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姓名</w:t>
            </w:r>
          </w:p>
        </w:tc>
        <w:tc>
          <w:tcPr>
            <w:tcW w:w="1328" w:type="dxa"/>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单位/岗位</w:t>
            </w:r>
          </w:p>
        </w:tc>
        <w:tc>
          <w:tcPr>
            <w:tcW w:w="796" w:type="dxa"/>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签到</w:t>
            </w:r>
          </w:p>
        </w:tc>
        <w:tc>
          <w:tcPr>
            <w:tcW w:w="735" w:type="dxa"/>
            <w:gridSpan w:val="2"/>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成绩</w:t>
            </w:r>
          </w:p>
        </w:tc>
        <w:tc>
          <w:tcPr>
            <w:tcW w:w="794" w:type="dxa"/>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序号</w:t>
            </w:r>
          </w:p>
        </w:tc>
        <w:tc>
          <w:tcPr>
            <w:tcW w:w="783" w:type="dxa"/>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姓名</w:t>
            </w:r>
          </w:p>
        </w:tc>
        <w:tc>
          <w:tcPr>
            <w:tcW w:w="1359" w:type="dxa"/>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单位/岗位</w:t>
            </w:r>
          </w:p>
        </w:tc>
        <w:tc>
          <w:tcPr>
            <w:tcW w:w="781" w:type="dxa"/>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签到</w:t>
            </w:r>
          </w:p>
        </w:tc>
        <w:tc>
          <w:tcPr>
            <w:tcW w:w="757" w:type="dxa"/>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成绩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5" w:hRule="exact"/>
        </w:trPr>
        <w:tc>
          <w:tcPr>
            <w:tcW w:w="756" w:type="dxa"/>
            <w:noWrap w:val="0"/>
            <w:vAlign w:val="center"/>
          </w:tcPr>
          <w:p>
            <w:pPr>
              <w:autoSpaceDE w:val="0"/>
              <w:autoSpaceDN w:val="0"/>
              <w:adjustRightInd w:val="0"/>
              <w:snapToGrid w:val="0"/>
              <w:spacing w:line="240" w:lineRule="auto"/>
              <w:ind w:firstLine="0" w:firstLineChars="0"/>
              <w:rPr>
                <w:color w:val="000000"/>
                <w:kern w:val="0"/>
              </w:rPr>
            </w:pPr>
          </w:p>
        </w:tc>
        <w:tc>
          <w:tcPr>
            <w:tcW w:w="797" w:type="dxa"/>
            <w:noWrap w:val="0"/>
            <w:vAlign w:val="center"/>
          </w:tcPr>
          <w:p>
            <w:pPr>
              <w:autoSpaceDE w:val="0"/>
              <w:autoSpaceDN w:val="0"/>
              <w:adjustRightInd w:val="0"/>
              <w:snapToGrid w:val="0"/>
              <w:spacing w:line="240" w:lineRule="auto"/>
              <w:ind w:firstLine="0" w:firstLineChars="0"/>
              <w:rPr>
                <w:color w:val="000000"/>
                <w:kern w:val="0"/>
              </w:rPr>
            </w:pPr>
          </w:p>
        </w:tc>
        <w:tc>
          <w:tcPr>
            <w:tcW w:w="1328" w:type="dxa"/>
            <w:noWrap w:val="0"/>
            <w:vAlign w:val="center"/>
          </w:tcPr>
          <w:p>
            <w:pPr>
              <w:autoSpaceDE w:val="0"/>
              <w:autoSpaceDN w:val="0"/>
              <w:adjustRightInd w:val="0"/>
              <w:snapToGrid w:val="0"/>
              <w:spacing w:line="240" w:lineRule="auto"/>
              <w:ind w:firstLine="0" w:firstLineChars="0"/>
              <w:rPr>
                <w:color w:val="000000"/>
                <w:kern w:val="0"/>
              </w:rPr>
            </w:pPr>
          </w:p>
        </w:tc>
        <w:tc>
          <w:tcPr>
            <w:tcW w:w="796" w:type="dxa"/>
            <w:noWrap w:val="0"/>
            <w:vAlign w:val="center"/>
          </w:tcPr>
          <w:p>
            <w:pPr>
              <w:autoSpaceDE w:val="0"/>
              <w:autoSpaceDN w:val="0"/>
              <w:adjustRightInd w:val="0"/>
              <w:snapToGrid w:val="0"/>
              <w:spacing w:line="240" w:lineRule="auto"/>
              <w:ind w:firstLine="0" w:firstLineChars="0"/>
              <w:rPr>
                <w:color w:val="000000"/>
                <w:kern w:val="0"/>
              </w:rPr>
            </w:pPr>
          </w:p>
        </w:tc>
        <w:tc>
          <w:tcPr>
            <w:tcW w:w="735" w:type="dxa"/>
            <w:gridSpan w:val="2"/>
            <w:noWrap w:val="0"/>
            <w:vAlign w:val="center"/>
          </w:tcPr>
          <w:p>
            <w:pPr>
              <w:autoSpaceDE w:val="0"/>
              <w:autoSpaceDN w:val="0"/>
              <w:adjustRightInd w:val="0"/>
              <w:snapToGrid w:val="0"/>
              <w:spacing w:line="240" w:lineRule="auto"/>
              <w:ind w:firstLine="0" w:firstLineChars="0"/>
              <w:rPr>
                <w:color w:val="000000"/>
                <w:kern w:val="0"/>
              </w:rPr>
            </w:pPr>
          </w:p>
        </w:tc>
        <w:tc>
          <w:tcPr>
            <w:tcW w:w="794" w:type="dxa"/>
            <w:noWrap w:val="0"/>
            <w:vAlign w:val="center"/>
          </w:tcPr>
          <w:p>
            <w:pPr>
              <w:autoSpaceDE w:val="0"/>
              <w:autoSpaceDN w:val="0"/>
              <w:adjustRightInd w:val="0"/>
              <w:snapToGrid w:val="0"/>
              <w:spacing w:line="240" w:lineRule="auto"/>
              <w:ind w:firstLine="0" w:firstLineChars="0"/>
              <w:rPr>
                <w:color w:val="000000"/>
                <w:kern w:val="0"/>
              </w:rPr>
            </w:pPr>
          </w:p>
        </w:tc>
        <w:tc>
          <w:tcPr>
            <w:tcW w:w="783" w:type="dxa"/>
            <w:noWrap w:val="0"/>
            <w:vAlign w:val="center"/>
          </w:tcPr>
          <w:p>
            <w:pPr>
              <w:autoSpaceDE w:val="0"/>
              <w:autoSpaceDN w:val="0"/>
              <w:adjustRightInd w:val="0"/>
              <w:snapToGrid w:val="0"/>
              <w:spacing w:line="240" w:lineRule="auto"/>
              <w:ind w:firstLine="0" w:firstLineChars="0"/>
              <w:rPr>
                <w:color w:val="000000"/>
                <w:kern w:val="0"/>
              </w:rPr>
            </w:pPr>
          </w:p>
        </w:tc>
        <w:tc>
          <w:tcPr>
            <w:tcW w:w="1359" w:type="dxa"/>
            <w:noWrap w:val="0"/>
            <w:vAlign w:val="center"/>
          </w:tcPr>
          <w:p>
            <w:pPr>
              <w:autoSpaceDE w:val="0"/>
              <w:autoSpaceDN w:val="0"/>
              <w:adjustRightInd w:val="0"/>
              <w:snapToGrid w:val="0"/>
              <w:spacing w:line="240" w:lineRule="auto"/>
              <w:ind w:firstLine="0" w:firstLineChars="0"/>
              <w:rPr>
                <w:color w:val="000000"/>
                <w:kern w:val="0"/>
              </w:rPr>
            </w:pPr>
          </w:p>
        </w:tc>
        <w:tc>
          <w:tcPr>
            <w:tcW w:w="781" w:type="dxa"/>
            <w:noWrap w:val="0"/>
            <w:vAlign w:val="center"/>
          </w:tcPr>
          <w:p>
            <w:pPr>
              <w:autoSpaceDE w:val="0"/>
              <w:autoSpaceDN w:val="0"/>
              <w:adjustRightInd w:val="0"/>
              <w:snapToGrid w:val="0"/>
              <w:spacing w:line="240" w:lineRule="auto"/>
              <w:ind w:firstLine="0" w:firstLineChars="0"/>
              <w:rPr>
                <w:color w:val="000000"/>
                <w:kern w:val="0"/>
              </w:rPr>
            </w:pPr>
          </w:p>
        </w:tc>
        <w:tc>
          <w:tcPr>
            <w:tcW w:w="757" w:type="dxa"/>
            <w:noWrap w:val="0"/>
            <w:vAlign w:val="center"/>
          </w:tcPr>
          <w:p>
            <w:pPr>
              <w:autoSpaceDE w:val="0"/>
              <w:autoSpaceDN w:val="0"/>
              <w:adjustRightInd w:val="0"/>
              <w:snapToGrid w:val="0"/>
              <w:spacing w:line="240" w:lineRule="auto"/>
              <w:ind w:firstLine="0" w:firstLineChars="0"/>
              <w:rPr>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trPr>
        <w:tc>
          <w:tcPr>
            <w:tcW w:w="756" w:type="dxa"/>
            <w:noWrap w:val="0"/>
            <w:vAlign w:val="center"/>
          </w:tcPr>
          <w:p>
            <w:pPr>
              <w:autoSpaceDE w:val="0"/>
              <w:autoSpaceDN w:val="0"/>
              <w:adjustRightInd w:val="0"/>
              <w:snapToGrid w:val="0"/>
              <w:spacing w:line="240" w:lineRule="auto"/>
              <w:ind w:firstLine="0" w:firstLineChars="0"/>
              <w:rPr>
                <w:color w:val="000000"/>
                <w:kern w:val="0"/>
              </w:rPr>
            </w:pPr>
          </w:p>
        </w:tc>
        <w:tc>
          <w:tcPr>
            <w:tcW w:w="797" w:type="dxa"/>
            <w:noWrap w:val="0"/>
            <w:vAlign w:val="center"/>
          </w:tcPr>
          <w:p>
            <w:pPr>
              <w:autoSpaceDE w:val="0"/>
              <w:autoSpaceDN w:val="0"/>
              <w:adjustRightInd w:val="0"/>
              <w:snapToGrid w:val="0"/>
              <w:spacing w:line="240" w:lineRule="auto"/>
              <w:ind w:firstLine="0" w:firstLineChars="0"/>
              <w:rPr>
                <w:color w:val="000000"/>
                <w:kern w:val="0"/>
              </w:rPr>
            </w:pPr>
          </w:p>
        </w:tc>
        <w:tc>
          <w:tcPr>
            <w:tcW w:w="1328" w:type="dxa"/>
            <w:noWrap w:val="0"/>
            <w:vAlign w:val="center"/>
          </w:tcPr>
          <w:p>
            <w:pPr>
              <w:autoSpaceDE w:val="0"/>
              <w:autoSpaceDN w:val="0"/>
              <w:adjustRightInd w:val="0"/>
              <w:snapToGrid w:val="0"/>
              <w:spacing w:line="240" w:lineRule="auto"/>
              <w:ind w:firstLine="0" w:firstLineChars="0"/>
              <w:rPr>
                <w:color w:val="000000"/>
                <w:kern w:val="0"/>
              </w:rPr>
            </w:pPr>
          </w:p>
        </w:tc>
        <w:tc>
          <w:tcPr>
            <w:tcW w:w="796" w:type="dxa"/>
            <w:noWrap w:val="0"/>
            <w:vAlign w:val="center"/>
          </w:tcPr>
          <w:p>
            <w:pPr>
              <w:autoSpaceDE w:val="0"/>
              <w:autoSpaceDN w:val="0"/>
              <w:adjustRightInd w:val="0"/>
              <w:snapToGrid w:val="0"/>
              <w:spacing w:line="240" w:lineRule="auto"/>
              <w:ind w:firstLine="0" w:firstLineChars="0"/>
              <w:rPr>
                <w:color w:val="000000"/>
                <w:kern w:val="0"/>
              </w:rPr>
            </w:pPr>
          </w:p>
        </w:tc>
        <w:tc>
          <w:tcPr>
            <w:tcW w:w="735" w:type="dxa"/>
            <w:gridSpan w:val="2"/>
            <w:noWrap w:val="0"/>
            <w:vAlign w:val="center"/>
          </w:tcPr>
          <w:p>
            <w:pPr>
              <w:autoSpaceDE w:val="0"/>
              <w:autoSpaceDN w:val="0"/>
              <w:adjustRightInd w:val="0"/>
              <w:snapToGrid w:val="0"/>
              <w:spacing w:line="240" w:lineRule="auto"/>
              <w:ind w:firstLine="0" w:firstLineChars="0"/>
              <w:rPr>
                <w:color w:val="000000"/>
                <w:kern w:val="0"/>
              </w:rPr>
            </w:pPr>
          </w:p>
        </w:tc>
        <w:tc>
          <w:tcPr>
            <w:tcW w:w="794" w:type="dxa"/>
            <w:noWrap w:val="0"/>
            <w:vAlign w:val="center"/>
          </w:tcPr>
          <w:p>
            <w:pPr>
              <w:autoSpaceDE w:val="0"/>
              <w:autoSpaceDN w:val="0"/>
              <w:adjustRightInd w:val="0"/>
              <w:snapToGrid w:val="0"/>
              <w:spacing w:line="240" w:lineRule="auto"/>
              <w:ind w:firstLine="0" w:firstLineChars="0"/>
              <w:rPr>
                <w:color w:val="000000"/>
                <w:kern w:val="0"/>
              </w:rPr>
            </w:pPr>
          </w:p>
        </w:tc>
        <w:tc>
          <w:tcPr>
            <w:tcW w:w="783" w:type="dxa"/>
            <w:noWrap w:val="0"/>
            <w:vAlign w:val="center"/>
          </w:tcPr>
          <w:p>
            <w:pPr>
              <w:autoSpaceDE w:val="0"/>
              <w:autoSpaceDN w:val="0"/>
              <w:adjustRightInd w:val="0"/>
              <w:snapToGrid w:val="0"/>
              <w:spacing w:line="240" w:lineRule="auto"/>
              <w:ind w:firstLine="0" w:firstLineChars="0"/>
              <w:rPr>
                <w:color w:val="000000"/>
                <w:kern w:val="0"/>
              </w:rPr>
            </w:pPr>
          </w:p>
        </w:tc>
        <w:tc>
          <w:tcPr>
            <w:tcW w:w="1359" w:type="dxa"/>
            <w:noWrap w:val="0"/>
            <w:vAlign w:val="center"/>
          </w:tcPr>
          <w:p>
            <w:pPr>
              <w:autoSpaceDE w:val="0"/>
              <w:autoSpaceDN w:val="0"/>
              <w:adjustRightInd w:val="0"/>
              <w:snapToGrid w:val="0"/>
              <w:spacing w:line="240" w:lineRule="auto"/>
              <w:ind w:firstLine="0" w:firstLineChars="0"/>
              <w:rPr>
                <w:color w:val="000000"/>
                <w:kern w:val="0"/>
              </w:rPr>
            </w:pPr>
          </w:p>
        </w:tc>
        <w:tc>
          <w:tcPr>
            <w:tcW w:w="781" w:type="dxa"/>
            <w:noWrap w:val="0"/>
            <w:vAlign w:val="center"/>
          </w:tcPr>
          <w:p>
            <w:pPr>
              <w:autoSpaceDE w:val="0"/>
              <w:autoSpaceDN w:val="0"/>
              <w:adjustRightInd w:val="0"/>
              <w:snapToGrid w:val="0"/>
              <w:spacing w:line="240" w:lineRule="auto"/>
              <w:ind w:firstLine="0" w:firstLineChars="0"/>
              <w:rPr>
                <w:color w:val="000000"/>
                <w:kern w:val="0"/>
              </w:rPr>
            </w:pPr>
          </w:p>
        </w:tc>
        <w:tc>
          <w:tcPr>
            <w:tcW w:w="757" w:type="dxa"/>
            <w:noWrap w:val="0"/>
            <w:vAlign w:val="center"/>
          </w:tcPr>
          <w:p>
            <w:pPr>
              <w:autoSpaceDE w:val="0"/>
              <w:autoSpaceDN w:val="0"/>
              <w:adjustRightInd w:val="0"/>
              <w:snapToGrid w:val="0"/>
              <w:spacing w:line="240" w:lineRule="auto"/>
              <w:ind w:firstLine="0" w:firstLineChars="0"/>
              <w:rPr>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5" w:hRule="exact"/>
        </w:trPr>
        <w:tc>
          <w:tcPr>
            <w:tcW w:w="756" w:type="dxa"/>
            <w:noWrap w:val="0"/>
            <w:vAlign w:val="center"/>
          </w:tcPr>
          <w:p>
            <w:pPr>
              <w:autoSpaceDE w:val="0"/>
              <w:autoSpaceDN w:val="0"/>
              <w:adjustRightInd w:val="0"/>
              <w:snapToGrid w:val="0"/>
              <w:spacing w:line="240" w:lineRule="auto"/>
              <w:ind w:firstLine="0" w:firstLineChars="0"/>
              <w:rPr>
                <w:color w:val="000000"/>
                <w:kern w:val="0"/>
              </w:rPr>
            </w:pPr>
          </w:p>
        </w:tc>
        <w:tc>
          <w:tcPr>
            <w:tcW w:w="797" w:type="dxa"/>
            <w:noWrap w:val="0"/>
            <w:vAlign w:val="center"/>
          </w:tcPr>
          <w:p>
            <w:pPr>
              <w:autoSpaceDE w:val="0"/>
              <w:autoSpaceDN w:val="0"/>
              <w:adjustRightInd w:val="0"/>
              <w:snapToGrid w:val="0"/>
              <w:spacing w:line="240" w:lineRule="auto"/>
              <w:ind w:firstLine="0" w:firstLineChars="0"/>
              <w:rPr>
                <w:color w:val="000000"/>
                <w:kern w:val="0"/>
              </w:rPr>
            </w:pPr>
          </w:p>
        </w:tc>
        <w:tc>
          <w:tcPr>
            <w:tcW w:w="1328" w:type="dxa"/>
            <w:noWrap w:val="0"/>
            <w:vAlign w:val="center"/>
          </w:tcPr>
          <w:p>
            <w:pPr>
              <w:autoSpaceDE w:val="0"/>
              <w:autoSpaceDN w:val="0"/>
              <w:adjustRightInd w:val="0"/>
              <w:snapToGrid w:val="0"/>
              <w:spacing w:line="240" w:lineRule="auto"/>
              <w:ind w:firstLine="0" w:firstLineChars="0"/>
              <w:rPr>
                <w:color w:val="000000"/>
                <w:kern w:val="0"/>
              </w:rPr>
            </w:pPr>
          </w:p>
        </w:tc>
        <w:tc>
          <w:tcPr>
            <w:tcW w:w="796" w:type="dxa"/>
            <w:noWrap w:val="0"/>
            <w:vAlign w:val="center"/>
          </w:tcPr>
          <w:p>
            <w:pPr>
              <w:autoSpaceDE w:val="0"/>
              <w:autoSpaceDN w:val="0"/>
              <w:adjustRightInd w:val="0"/>
              <w:snapToGrid w:val="0"/>
              <w:spacing w:line="240" w:lineRule="auto"/>
              <w:ind w:firstLine="0" w:firstLineChars="0"/>
              <w:rPr>
                <w:color w:val="000000"/>
                <w:kern w:val="0"/>
              </w:rPr>
            </w:pPr>
          </w:p>
        </w:tc>
        <w:tc>
          <w:tcPr>
            <w:tcW w:w="735" w:type="dxa"/>
            <w:gridSpan w:val="2"/>
            <w:noWrap w:val="0"/>
            <w:vAlign w:val="center"/>
          </w:tcPr>
          <w:p>
            <w:pPr>
              <w:autoSpaceDE w:val="0"/>
              <w:autoSpaceDN w:val="0"/>
              <w:adjustRightInd w:val="0"/>
              <w:snapToGrid w:val="0"/>
              <w:spacing w:line="240" w:lineRule="auto"/>
              <w:ind w:firstLine="0" w:firstLineChars="0"/>
              <w:rPr>
                <w:color w:val="000000"/>
                <w:kern w:val="0"/>
              </w:rPr>
            </w:pPr>
          </w:p>
        </w:tc>
        <w:tc>
          <w:tcPr>
            <w:tcW w:w="794" w:type="dxa"/>
            <w:noWrap w:val="0"/>
            <w:vAlign w:val="center"/>
          </w:tcPr>
          <w:p>
            <w:pPr>
              <w:autoSpaceDE w:val="0"/>
              <w:autoSpaceDN w:val="0"/>
              <w:adjustRightInd w:val="0"/>
              <w:snapToGrid w:val="0"/>
              <w:spacing w:line="240" w:lineRule="auto"/>
              <w:ind w:firstLine="0" w:firstLineChars="0"/>
              <w:rPr>
                <w:color w:val="000000"/>
                <w:kern w:val="0"/>
              </w:rPr>
            </w:pPr>
          </w:p>
        </w:tc>
        <w:tc>
          <w:tcPr>
            <w:tcW w:w="783" w:type="dxa"/>
            <w:noWrap w:val="0"/>
            <w:vAlign w:val="center"/>
          </w:tcPr>
          <w:p>
            <w:pPr>
              <w:autoSpaceDE w:val="0"/>
              <w:autoSpaceDN w:val="0"/>
              <w:adjustRightInd w:val="0"/>
              <w:snapToGrid w:val="0"/>
              <w:spacing w:line="240" w:lineRule="auto"/>
              <w:ind w:firstLine="0" w:firstLineChars="0"/>
              <w:rPr>
                <w:color w:val="000000"/>
                <w:kern w:val="0"/>
              </w:rPr>
            </w:pPr>
          </w:p>
        </w:tc>
        <w:tc>
          <w:tcPr>
            <w:tcW w:w="1359" w:type="dxa"/>
            <w:noWrap w:val="0"/>
            <w:vAlign w:val="center"/>
          </w:tcPr>
          <w:p>
            <w:pPr>
              <w:autoSpaceDE w:val="0"/>
              <w:autoSpaceDN w:val="0"/>
              <w:adjustRightInd w:val="0"/>
              <w:snapToGrid w:val="0"/>
              <w:spacing w:line="240" w:lineRule="auto"/>
              <w:ind w:firstLine="0" w:firstLineChars="0"/>
              <w:rPr>
                <w:color w:val="000000"/>
                <w:kern w:val="0"/>
              </w:rPr>
            </w:pPr>
          </w:p>
        </w:tc>
        <w:tc>
          <w:tcPr>
            <w:tcW w:w="781" w:type="dxa"/>
            <w:noWrap w:val="0"/>
            <w:vAlign w:val="center"/>
          </w:tcPr>
          <w:p>
            <w:pPr>
              <w:autoSpaceDE w:val="0"/>
              <w:autoSpaceDN w:val="0"/>
              <w:adjustRightInd w:val="0"/>
              <w:snapToGrid w:val="0"/>
              <w:spacing w:line="240" w:lineRule="auto"/>
              <w:ind w:firstLine="0" w:firstLineChars="0"/>
              <w:rPr>
                <w:color w:val="000000"/>
                <w:kern w:val="0"/>
              </w:rPr>
            </w:pPr>
          </w:p>
        </w:tc>
        <w:tc>
          <w:tcPr>
            <w:tcW w:w="757" w:type="dxa"/>
            <w:noWrap w:val="0"/>
            <w:vAlign w:val="center"/>
          </w:tcPr>
          <w:p>
            <w:pPr>
              <w:autoSpaceDE w:val="0"/>
              <w:autoSpaceDN w:val="0"/>
              <w:adjustRightInd w:val="0"/>
              <w:snapToGrid w:val="0"/>
              <w:spacing w:line="240" w:lineRule="auto"/>
              <w:ind w:firstLine="0" w:firstLineChars="0"/>
              <w:rPr>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6" w:hRule="exact"/>
        </w:trPr>
        <w:tc>
          <w:tcPr>
            <w:tcW w:w="756" w:type="dxa"/>
            <w:noWrap w:val="0"/>
            <w:vAlign w:val="center"/>
          </w:tcPr>
          <w:p>
            <w:pPr>
              <w:autoSpaceDE w:val="0"/>
              <w:autoSpaceDN w:val="0"/>
              <w:adjustRightInd w:val="0"/>
              <w:snapToGrid w:val="0"/>
              <w:spacing w:line="240" w:lineRule="auto"/>
              <w:ind w:firstLine="0" w:firstLineChars="0"/>
              <w:rPr>
                <w:color w:val="000000"/>
                <w:kern w:val="0"/>
              </w:rPr>
            </w:pPr>
          </w:p>
        </w:tc>
        <w:tc>
          <w:tcPr>
            <w:tcW w:w="797" w:type="dxa"/>
            <w:noWrap w:val="0"/>
            <w:vAlign w:val="center"/>
          </w:tcPr>
          <w:p>
            <w:pPr>
              <w:autoSpaceDE w:val="0"/>
              <w:autoSpaceDN w:val="0"/>
              <w:adjustRightInd w:val="0"/>
              <w:snapToGrid w:val="0"/>
              <w:spacing w:line="240" w:lineRule="auto"/>
              <w:ind w:firstLine="0" w:firstLineChars="0"/>
              <w:rPr>
                <w:color w:val="000000"/>
                <w:kern w:val="0"/>
              </w:rPr>
            </w:pPr>
          </w:p>
        </w:tc>
        <w:tc>
          <w:tcPr>
            <w:tcW w:w="1328" w:type="dxa"/>
            <w:noWrap w:val="0"/>
            <w:vAlign w:val="center"/>
          </w:tcPr>
          <w:p>
            <w:pPr>
              <w:autoSpaceDE w:val="0"/>
              <w:autoSpaceDN w:val="0"/>
              <w:adjustRightInd w:val="0"/>
              <w:snapToGrid w:val="0"/>
              <w:spacing w:line="240" w:lineRule="auto"/>
              <w:ind w:firstLine="0" w:firstLineChars="0"/>
              <w:rPr>
                <w:color w:val="000000"/>
                <w:kern w:val="0"/>
              </w:rPr>
            </w:pPr>
          </w:p>
        </w:tc>
        <w:tc>
          <w:tcPr>
            <w:tcW w:w="796" w:type="dxa"/>
            <w:noWrap w:val="0"/>
            <w:vAlign w:val="center"/>
          </w:tcPr>
          <w:p>
            <w:pPr>
              <w:autoSpaceDE w:val="0"/>
              <w:autoSpaceDN w:val="0"/>
              <w:adjustRightInd w:val="0"/>
              <w:snapToGrid w:val="0"/>
              <w:spacing w:line="240" w:lineRule="auto"/>
              <w:ind w:firstLine="0" w:firstLineChars="0"/>
              <w:rPr>
                <w:color w:val="000000"/>
                <w:kern w:val="0"/>
              </w:rPr>
            </w:pPr>
          </w:p>
        </w:tc>
        <w:tc>
          <w:tcPr>
            <w:tcW w:w="735" w:type="dxa"/>
            <w:gridSpan w:val="2"/>
            <w:noWrap w:val="0"/>
            <w:vAlign w:val="center"/>
          </w:tcPr>
          <w:p>
            <w:pPr>
              <w:autoSpaceDE w:val="0"/>
              <w:autoSpaceDN w:val="0"/>
              <w:adjustRightInd w:val="0"/>
              <w:snapToGrid w:val="0"/>
              <w:spacing w:line="240" w:lineRule="auto"/>
              <w:ind w:firstLine="0" w:firstLineChars="0"/>
              <w:rPr>
                <w:color w:val="000000"/>
                <w:kern w:val="0"/>
              </w:rPr>
            </w:pPr>
          </w:p>
        </w:tc>
        <w:tc>
          <w:tcPr>
            <w:tcW w:w="794" w:type="dxa"/>
            <w:noWrap w:val="0"/>
            <w:vAlign w:val="center"/>
          </w:tcPr>
          <w:p>
            <w:pPr>
              <w:autoSpaceDE w:val="0"/>
              <w:autoSpaceDN w:val="0"/>
              <w:adjustRightInd w:val="0"/>
              <w:snapToGrid w:val="0"/>
              <w:spacing w:line="240" w:lineRule="auto"/>
              <w:ind w:firstLine="0" w:firstLineChars="0"/>
              <w:rPr>
                <w:color w:val="000000"/>
                <w:kern w:val="0"/>
              </w:rPr>
            </w:pPr>
          </w:p>
        </w:tc>
        <w:tc>
          <w:tcPr>
            <w:tcW w:w="783" w:type="dxa"/>
            <w:noWrap w:val="0"/>
            <w:vAlign w:val="center"/>
          </w:tcPr>
          <w:p>
            <w:pPr>
              <w:autoSpaceDE w:val="0"/>
              <w:autoSpaceDN w:val="0"/>
              <w:adjustRightInd w:val="0"/>
              <w:snapToGrid w:val="0"/>
              <w:spacing w:line="240" w:lineRule="auto"/>
              <w:ind w:firstLine="0" w:firstLineChars="0"/>
              <w:rPr>
                <w:color w:val="000000"/>
                <w:kern w:val="0"/>
              </w:rPr>
            </w:pPr>
          </w:p>
        </w:tc>
        <w:tc>
          <w:tcPr>
            <w:tcW w:w="1359" w:type="dxa"/>
            <w:noWrap w:val="0"/>
            <w:vAlign w:val="center"/>
          </w:tcPr>
          <w:p>
            <w:pPr>
              <w:autoSpaceDE w:val="0"/>
              <w:autoSpaceDN w:val="0"/>
              <w:adjustRightInd w:val="0"/>
              <w:snapToGrid w:val="0"/>
              <w:spacing w:line="240" w:lineRule="auto"/>
              <w:ind w:firstLine="0" w:firstLineChars="0"/>
              <w:rPr>
                <w:color w:val="000000"/>
                <w:kern w:val="0"/>
              </w:rPr>
            </w:pPr>
          </w:p>
        </w:tc>
        <w:tc>
          <w:tcPr>
            <w:tcW w:w="781" w:type="dxa"/>
            <w:noWrap w:val="0"/>
            <w:vAlign w:val="center"/>
          </w:tcPr>
          <w:p>
            <w:pPr>
              <w:autoSpaceDE w:val="0"/>
              <w:autoSpaceDN w:val="0"/>
              <w:adjustRightInd w:val="0"/>
              <w:snapToGrid w:val="0"/>
              <w:spacing w:line="240" w:lineRule="auto"/>
              <w:ind w:firstLine="0" w:firstLineChars="0"/>
              <w:rPr>
                <w:color w:val="000000"/>
                <w:kern w:val="0"/>
              </w:rPr>
            </w:pPr>
          </w:p>
        </w:tc>
        <w:tc>
          <w:tcPr>
            <w:tcW w:w="757" w:type="dxa"/>
            <w:noWrap w:val="0"/>
            <w:vAlign w:val="center"/>
          </w:tcPr>
          <w:p>
            <w:pPr>
              <w:autoSpaceDE w:val="0"/>
              <w:autoSpaceDN w:val="0"/>
              <w:adjustRightInd w:val="0"/>
              <w:snapToGrid w:val="0"/>
              <w:spacing w:line="240" w:lineRule="auto"/>
              <w:ind w:firstLine="0" w:firstLineChars="0"/>
              <w:rPr>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trPr>
        <w:tc>
          <w:tcPr>
            <w:tcW w:w="8885" w:type="dxa"/>
            <w:gridSpan w:val="11"/>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组织实施部门及负责人：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2" w:hRule="exact"/>
        </w:trPr>
        <w:tc>
          <w:tcPr>
            <w:tcW w:w="8885" w:type="dxa"/>
            <w:gridSpan w:val="11"/>
            <w:noWrap w:val="0"/>
            <w:vAlign w:val="center"/>
          </w:tcPr>
          <w:p>
            <w:pPr>
              <w:kinsoku w:val="0"/>
              <w:overflowPunct w:val="0"/>
              <w:autoSpaceDE w:val="0"/>
              <w:autoSpaceDN w:val="0"/>
              <w:adjustRightInd w:val="0"/>
              <w:snapToGrid w:val="0"/>
              <w:spacing w:line="240" w:lineRule="auto"/>
              <w:ind w:firstLine="0" w:firstLineChars="0"/>
              <w:rPr>
                <w:color w:val="000000"/>
                <w:kern w:val="0"/>
              </w:rPr>
            </w:pPr>
            <w:r>
              <w:rPr>
                <w:color w:val="000000"/>
                <w:kern w:val="0"/>
              </w:rPr>
              <w:t>备注：</w:t>
            </w:r>
          </w:p>
        </w:tc>
      </w:tr>
    </w:tbl>
    <w:p>
      <w:pPr>
        <w:pStyle w:val="4"/>
        <w:rPr>
          <w:color w:val="000000"/>
        </w:rPr>
      </w:pPr>
      <w:bookmarkStart w:id="76" w:name="_Toc120195413"/>
      <w:r>
        <w:rPr>
          <w:color w:val="000000"/>
        </w:rPr>
        <w:t>9.2演练</w:t>
      </w:r>
      <w:bookmarkEnd w:id="76"/>
    </w:p>
    <w:p>
      <w:pPr>
        <w:pStyle w:val="5"/>
        <w:rPr>
          <w:color w:val="000000"/>
        </w:rPr>
      </w:pPr>
      <w:r>
        <w:rPr>
          <w:color w:val="000000"/>
        </w:rPr>
        <w:t>9.2.1原应急预案演练回顾</w:t>
      </w:r>
    </w:p>
    <w:p>
      <w:pPr>
        <w:ind w:firstLine="560"/>
        <w:jc w:val="left"/>
        <w:rPr>
          <w:color w:val="000000"/>
          <w:szCs w:val="24"/>
        </w:rPr>
      </w:pPr>
      <w:r>
        <w:rPr>
          <w:color w:val="000000"/>
          <w:szCs w:val="24"/>
        </w:rPr>
        <w:t>本公司在第一版突发环境事件应急预案备案完成后，已于每年组织一次针对一个或多个环境风险单元的突发环境事件应急预案演练（比如化学品泄漏事故等）。在经过系列性地应急预案演练工作后，本公司应急小组人员基本可以做到按时到位、职责明确；现场物资准备充分；组织协调能力基本顺利合理，能完成应急事故处理任务。原应急预案演练记录示例详见附件</w:t>
      </w:r>
      <w:r>
        <w:rPr>
          <w:rFonts w:eastAsia="TimesNewRomanPSMT"/>
          <w:color w:val="000000"/>
          <w:szCs w:val="24"/>
        </w:rPr>
        <w:t>5</w:t>
      </w:r>
      <w:r>
        <w:rPr>
          <w:color w:val="000000"/>
          <w:szCs w:val="24"/>
        </w:rPr>
        <w:t>。</w:t>
      </w:r>
    </w:p>
    <w:p>
      <w:pPr>
        <w:ind w:firstLine="0" w:firstLineChars="0"/>
        <w:jc w:val="center"/>
        <w:rPr>
          <w:color w:val="000000"/>
          <w:szCs w:val="24"/>
        </w:rPr>
      </w:pPr>
      <w:r>
        <w:rPr>
          <w:color w:val="000000"/>
          <w:szCs w:val="24"/>
        </w:rPr>
        <w:t>表9.2-1   原应急预案培训及演练记录情况</w:t>
      </w:r>
    </w:p>
    <w:tbl>
      <w:tblPr>
        <w:tblStyle w:val="11"/>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578"/>
        <w:gridCol w:w="4000"/>
        <w:gridCol w:w="2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noWrap w:val="0"/>
            <w:vAlign w:val="center"/>
          </w:tcPr>
          <w:p>
            <w:pPr>
              <w:spacing w:line="240" w:lineRule="auto"/>
              <w:ind w:firstLine="0" w:firstLineChars="0"/>
              <w:jc w:val="center"/>
              <w:rPr>
                <w:color w:val="000000"/>
                <w:sz w:val="24"/>
                <w:szCs w:val="24"/>
              </w:rPr>
            </w:pPr>
            <w:r>
              <w:rPr>
                <w:color w:val="000000"/>
                <w:sz w:val="24"/>
                <w:szCs w:val="24"/>
              </w:rPr>
              <w:t>序号</w:t>
            </w:r>
          </w:p>
        </w:tc>
        <w:tc>
          <w:tcPr>
            <w:tcW w:w="1578" w:type="dxa"/>
            <w:noWrap w:val="0"/>
            <w:vAlign w:val="center"/>
          </w:tcPr>
          <w:p>
            <w:pPr>
              <w:spacing w:line="240" w:lineRule="auto"/>
              <w:ind w:firstLine="0" w:firstLineChars="0"/>
              <w:jc w:val="center"/>
              <w:rPr>
                <w:color w:val="000000"/>
                <w:sz w:val="24"/>
                <w:szCs w:val="24"/>
              </w:rPr>
            </w:pPr>
            <w:r>
              <w:rPr>
                <w:color w:val="000000"/>
                <w:sz w:val="24"/>
                <w:szCs w:val="24"/>
              </w:rPr>
              <w:t>时间</w:t>
            </w:r>
          </w:p>
        </w:tc>
        <w:tc>
          <w:tcPr>
            <w:tcW w:w="4000" w:type="dxa"/>
            <w:noWrap w:val="0"/>
            <w:vAlign w:val="center"/>
          </w:tcPr>
          <w:p>
            <w:pPr>
              <w:spacing w:line="240" w:lineRule="auto"/>
              <w:ind w:firstLine="0" w:firstLineChars="0"/>
              <w:jc w:val="center"/>
              <w:rPr>
                <w:color w:val="000000"/>
                <w:sz w:val="24"/>
                <w:szCs w:val="24"/>
              </w:rPr>
            </w:pPr>
            <w:r>
              <w:rPr>
                <w:color w:val="000000"/>
                <w:sz w:val="24"/>
                <w:szCs w:val="24"/>
              </w:rPr>
              <w:t>培训或演练内容</w:t>
            </w:r>
          </w:p>
        </w:tc>
        <w:tc>
          <w:tcPr>
            <w:tcW w:w="2026" w:type="dxa"/>
            <w:noWrap w:val="0"/>
            <w:vAlign w:val="center"/>
          </w:tcPr>
          <w:p>
            <w:pPr>
              <w:spacing w:line="240" w:lineRule="auto"/>
              <w:ind w:firstLine="0" w:firstLineChars="0"/>
              <w:jc w:val="center"/>
              <w:rPr>
                <w:color w:val="000000"/>
                <w:sz w:val="24"/>
                <w:szCs w:val="24"/>
              </w:rPr>
            </w:pPr>
            <w:r>
              <w:rPr>
                <w:color w:val="000000"/>
                <w:sz w:val="24"/>
                <w:szCs w:val="24"/>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noWrap w:val="0"/>
            <w:vAlign w:val="center"/>
          </w:tcPr>
          <w:p>
            <w:pPr>
              <w:spacing w:line="240" w:lineRule="auto"/>
              <w:ind w:firstLine="0" w:firstLineChars="0"/>
              <w:jc w:val="center"/>
              <w:rPr>
                <w:color w:val="000000"/>
                <w:sz w:val="24"/>
                <w:szCs w:val="24"/>
              </w:rPr>
            </w:pPr>
            <w:r>
              <w:rPr>
                <w:color w:val="000000"/>
                <w:sz w:val="24"/>
                <w:szCs w:val="24"/>
              </w:rPr>
              <w:t>1</w:t>
            </w:r>
          </w:p>
        </w:tc>
        <w:tc>
          <w:tcPr>
            <w:tcW w:w="1578" w:type="dxa"/>
            <w:noWrap w:val="0"/>
            <w:vAlign w:val="center"/>
          </w:tcPr>
          <w:p>
            <w:pPr>
              <w:spacing w:line="240" w:lineRule="auto"/>
              <w:ind w:firstLine="0" w:firstLineChars="0"/>
              <w:jc w:val="center"/>
              <w:rPr>
                <w:color w:val="000000"/>
                <w:sz w:val="24"/>
                <w:szCs w:val="24"/>
              </w:rPr>
            </w:pPr>
            <w:r>
              <w:rPr>
                <w:color w:val="000000"/>
                <w:sz w:val="24"/>
                <w:szCs w:val="24"/>
              </w:rPr>
              <w:t>2019.11.29</w:t>
            </w:r>
          </w:p>
        </w:tc>
        <w:tc>
          <w:tcPr>
            <w:tcW w:w="4000" w:type="dxa"/>
            <w:noWrap w:val="0"/>
            <w:vAlign w:val="center"/>
          </w:tcPr>
          <w:p>
            <w:pPr>
              <w:spacing w:line="240" w:lineRule="auto"/>
              <w:ind w:firstLine="0" w:firstLineChars="0"/>
              <w:jc w:val="center"/>
              <w:rPr>
                <w:color w:val="000000"/>
                <w:sz w:val="24"/>
                <w:szCs w:val="24"/>
              </w:rPr>
            </w:pPr>
            <w:r>
              <w:rPr>
                <w:color w:val="000000"/>
                <w:sz w:val="24"/>
                <w:szCs w:val="24"/>
              </w:rPr>
              <w:t>预设盐酸管路断裂，盐酸泄漏，喷溅到人员身上，周围电气及仪表短路失灵、设备锈蚀</w:t>
            </w:r>
          </w:p>
        </w:tc>
        <w:tc>
          <w:tcPr>
            <w:tcW w:w="2026" w:type="dxa"/>
            <w:noWrap w:val="0"/>
            <w:vAlign w:val="center"/>
          </w:tcPr>
          <w:p>
            <w:pPr>
              <w:spacing w:line="240" w:lineRule="auto"/>
              <w:ind w:firstLine="0" w:firstLineChars="0"/>
              <w:jc w:val="center"/>
              <w:rPr>
                <w:color w:val="000000"/>
                <w:sz w:val="24"/>
                <w:szCs w:val="24"/>
              </w:rPr>
            </w:pPr>
            <w:r>
              <w:rPr>
                <w:color w:val="000000"/>
                <w:sz w:val="24"/>
                <w:szCs w:val="24"/>
              </w:rPr>
              <w:t>全员通过考试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noWrap w:val="0"/>
            <w:vAlign w:val="center"/>
          </w:tcPr>
          <w:p>
            <w:pPr>
              <w:spacing w:line="240" w:lineRule="auto"/>
              <w:ind w:firstLine="0" w:firstLineChars="0"/>
              <w:jc w:val="center"/>
              <w:rPr>
                <w:color w:val="000000"/>
                <w:sz w:val="24"/>
                <w:szCs w:val="24"/>
              </w:rPr>
            </w:pPr>
            <w:r>
              <w:rPr>
                <w:color w:val="000000"/>
                <w:sz w:val="24"/>
                <w:szCs w:val="24"/>
              </w:rPr>
              <w:t>2</w:t>
            </w:r>
          </w:p>
        </w:tc>
        <w:tc>
          <w:tcPr>
            <w:tcW w:w="1578" w:type="dxa"/>
            <w:noWrap w:val="0"/>
            <w:vAlign w:val="center"/>
          </w:tcPr>
          <w:p>
            <w:pPr>
              <w:spacing w:line="240" w:lineRule="auto"/>
              <w:ind w:firstLine="0" w:firstLineChars="0"/>
              <w:jc w:val="center"/>
              <w:rPr>
                <w:color w:val="000000"/>
                <w:sz w:val="24"/>
                <w:szCs w:val="24"/>
              </w:rPr>
            </w:pPr>
            <w:r>
              <w:rPr>
                <w:color w:val="000000"/>
                <w:sz w:val="24"/>
                <w:szCs w:val="24"/>
              </w:rPr>
              <w:t>2020.9.11</w:t>
            </w:r>
          </w:p>
        </w:tc>
        <w:tc>
          <w:tcPr>
            <w:tcW w:w="4000" w:type="dxa"/>
            <w:noWrap w:val="0"/>
            <w:vAlign w:val="center"/>
          </w:tcPr>
          <w:p>
            <w:pPr>
              <w:spacing w:line="240" w:lineRule="auto"/>
              <w:ind w:firstLine="0" w:firstLineChars="0"/>
              <w:jc w:val="center"/>
              <w:rPr>
                <w:color w:val="000000"/>
                <w:sz w:val="24"/>
                <w:szCs w:val="24"/>
              </w:rPr>
            </w:pPr>
            <w:r>
              <w:rPr>
                <w:color w:val="000000"/>
                <w:sz w:val="24"/>
                <w:szCs w:val="24"/>
              </w:rPr>
              <w:t>预设盐酸管路断裂，盐酸泄漏，喷溅到人员身上，周围电气及仪表短路失灵、设备锈蚀</w:t>
            </w:r>
          </w:p>
        </w:tc>
        <w:tc>
          <w:tcPr>
            <w:tcW w:w="2026" w:type="dxa"/>
            <w:noWrap w:val="0"/>
            <w:vAlign w:val="center"/>
          </w:tcPr>
          <w:p>
            <w:pPr>
              <w:spacing w:line="240" w:lineRule="auto"/>
              <w:ind w:firstLine="0" w:firstLineChars="0"/>
              <w:jc w:val="center"/>
              <w:rPr>
                <w:color w:val="000000"/>
                <w:sz w:val="24"/>
                <w:szCs w:val="24"/>
              </w:rPr>
            </w:pPr>
            <w:r>
              <w:rPr>
                <w:color w:val="000000"/>
                <w:sz w:val="24"/>
                <w:szCs w:val="24"/>
              </w:rPr>
              <w:t>全员通过考试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noWrap w:val="0"/>
            <w:vAlign w:val="center"/>
          </w:tcPr>
          <w:p>
            <w:pPr>
              <w:spacing w:line="240" w:lineRule="auto"/>
              <w:ind w:firstLine="0" w:firstLineChars="0"/>
              <w:jc w:val="center"/>
              <w:rPr>
                <w:color w:val="000000"/>
                <w:sz w:val="24"/>
                <w:szCs w:val="24"/>
              </w:rPr>
            </w:pPr>
            <w:r>
              <w:rPr>
                <w:color w:val="000000"/>
                <w:sz w:val="24"/>
                <w:szCs w:val="24"/>
              </w:rPr>
              <w:t>3</w:t>
            </w:r>
          </w:p>
        </w:tc>
        <w:tc>
          <w:tcPr>
            <w:tcW w:w="1578" w:type="dxa"/>
            <w:noWrap w:val="0"/>
            <w:vAlign w:val="center"/>
          </w:tcPr>
          <w:p>
            <w:pPr>
              <w:spacing w:line="240" w:lineRule="auto"/>
              <w:ind w:firstLine="0" w:firstLineChars="0"/>
              <w:jc w:val="center"/>
              <w:rPr>
                <w:color w:val="000000"/>
                <w:sz w:val="24"/>
                <w:szCs w:val="24"/>
              </w:rPr>
            </w:pPr>
            <w:r>
              <w:rPr>
                <w:color w:val="000000"/>
                <w:sz w:val="24"/>
                <w:szCs w:val="24"/>
              </w:rPr>
              <w:t>2021.9.13</w:t>
            </w:r>
          </w:p>
        </w:tc>
        <w:tc>
          <w:tcPr>
            <w:tcW w:w="4000" w:type="dxa"/>
            <w:noWrap w:val="0"/>
            <w:vAlign w:val="center"/>
          </w:tcPr>
          <w:p>
            <w:pPr>
              <w:spacing w:line="240" w:lineRule="auto"/>
              <w:ind w:firstLine="0" w:firstLineChars="0"/>
              <w:jc w:val="center"/>
              <w:rPr>
                <w:color w:val="000000"/>
                <w:sz w:val="24"/>
                <w:szCs w:val="24"/>
              </w:rPr>
            </w:pPr>
            <w:r>
              <w:rPr>
                <w:color w:val="000000"/>
                <w:sz w:val="24"/>
                <w:szCs w:val="24"/>
              </w:rPr>
              <w:t>二车间盐酸输送管道泄漏，启动事故处置方案</w:t>
            </w:r>
          </w:p>
        </w:tc>
        <w:tc>
          <w:tcPr>
            <w:tcW w:w="2026" w:type="dxa"/>
            <w:noWrap w:val="0"/>
            <w:vAlign w:val="center"/>
          </w:tcPr>
          <w:p>
            <w:pPr>
              <w:spacing w:line="240" w:lineRule="auto"/>
              <w:ind w:firstLine="0" w:firstLineChars="0"/>
              <w:jc w:val="center"/>
              <w:rPr>
                <w:color w:val="000000"/>
                <w:sz w:val="24"/>
                <w:szCs w:val="24"/>
              </w:rPr>
            </w:pPr>
            <w:r>
              <w:rPr>
                <w:color w:val="000000"/>
                <w:sz w:val="24"/>
                <w:szCs w:val="24"/>
              </w:rPr>
              <w:t>全员通过考试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4"/>
            <w:noWrap w:val="0"/>
            <w:vAlign w:val="center"/>
          </w:tcPr>
          <w:p>
            <w:pPr>
              <w:ind w:firstLine="0" w:firstLineChars="0"/>
              <w:rPr>
                <w:color w:val="000000"/>
                <w:sz w:val="24"/>
                <w:szCs w:val="24"/>
              </w:rPr>
            </w:pPr>
            <w:r>
              <w:rPr>
                <w:color w:val="000000"/>
                <w:sz w:val="24"/>
                <w:szCs w:val="24"/>
              </w:rPr>
              <w:t>总结：</w:t>
            </w:r>
          </w:p>
          <w:p>
            <w:pPr>
              <w:pStyle w:val="2"/>
              <w:spacing w:line="360" w:lineRule="auto"/>
              <w:jc w:val="both"/>
              <w:rPr>
                <w:rFonts w:ascii="Times New Roman" w:hAnsi="Times New Roman" w:cs="Times New Roman"/>
              </w:rPr>
            </w:pPr>
            <w:r>
              <w:rPr>
                <w:rFonts w:ascii="Times New Roman" w:hAnsi="Times New Roman" w:eastAsia="仿宋" w:cs="Times New Roman"/>
              </w:rPr>
              <w:t>例次演练达到预期目的，公司将按照相关要求，学习应急相关知识，定期组织演练，通过全员的努力，在确保不发生事故的前提下，提高公司应急管理水平。</w:t>
            </w:r>
          </w:p>
        </w:tc>
      </w:tr>
    </w:tbl>
    <w:p>
      <w:pPr>
        <w:pStyle w:val="5"/>
        <w:rPr>
          <w:color w:val="000000"/>
        </w:rPr>
      </w:pPr>
      <w:r>
        <w:rPr>
          <w:color w:val="000000"/>
        </w:rPr>
        <w:t>9.2.2修订版应急预案演练要求</w:t>
      </w:r>
    </w:p>
    <w:p>
      <w:pPr>
        <w:ind w:firstLine="560"/>
        <w:jc w:val="left"/>
        <w:rPr>
          <w:color w:val="000000"/>
          <w:szCs w:val="24"/>
        </w:rPr>
      </w:pPr>
      <w:r>
        <w:rPr>
          <w:color w:val="000000"/>
          <w:szCs w:val="24"/>
        </w:rPr>
        <w:t>针对各环境风险单元，公司每年至少组织一次突发环境事故应急救援演习，小范围的演练以及专项演练根据实际情况合理安排时间进行，总时间不少于</w:t>
      </w:r>
      <w:r>
        <w:rPr>
          <w:rFonts w:eastAsia="TimesNewRomanPSMT"/>
          <w:color w:val="000000"/>
          <w:szCs w:val="24"/>
        </w:rPr>
        <w:t>2</w:t>
      </w:r>
      <w:r>
        <w:rPr>
          <w:color w:val="000000"/>
          <w:szCs w:val="24"/>
        </w:rPr>
        <w:t>小时。通过演练，锻炼和提高相关人员在突发事故情况下的快速抢险救援，及时营救伤员、正确指导和帮助员工防护和撤离、有效消除危害后果、提高现场急救和伤员转送等应急救援技能和应急反应综合素质、有效降低事故危害，减少事故损失。定期进行演练，使应急人员更清晰地明确各自的职责和工作程序，熟练个人防护方面应采取的应急措施，提高协同作战的能力，保证应急救援工作的有效、迅速地开展。</w:t>
      </w:r>
    </w:p>
    <w:p>
      <w:pPr>
        <w:ind w:firstLine="560"/>
        <w:jc w:val="left"/>
        <w:rPr>
          <w:color w:val="000000"/>
          <w:szCs w:val="24"/>
        </w:rPr>
      </w:pPr>
      <w:r>
        <w:rPr>
          <w:color w:val="000000"/>
          <w:szCs w:val="24"/>
        </w:rPr>
        <w:t>演练前制定周密的演习计划与程序，检查演习所需的器材、工具，落实安全防护措施，对参加演习的人员进行安全教育。演练结束后，由应急指挥部对演练的效果进行分析评估，总结演练时各部门应急反应能力及演习效果，解决演练中暴露的问题。</w:t>
      </w:r>
    </w:p>
    <w:p>
      <w:pPr>
        <w:ind w:firstLine="560"/>
        <w:jc w:val="left"/>
        <w:rPr>
          <w:color w:val="000000"/>
          <w:szCs w:val="24"/>
        </w:rPr>
      </w:pPr>
      <w:r>
        <w:rPr>
          <w:color w:val="000000"/>
          <w:szCs w:val="24"/>
        </w:rPr>
        <w:t>演练过程、评估结果和问题整改结果要以文字形式记录并保存。</w:t>
      </w:r>
    </w:p>
    <w:p>
      <w:pPr>
        <w:ind w:firstLine="0" w:firstLineChars="0"/>
        <w:jc w:val="center"/>
        <w:rPr>
          <w:color w:val="000000"/>
          <w:szCs w:val="24"/>
        </w:rPr>
      </w:pPr>
      <w:r>
        <w:rPr>
          <w:color w:val="000000"/>
          <w:szCs w:val="24"/>
        </w:rPr>
        <w:t>表9.2-2   应急演练表</w:t>
      </w:r>
    </w:p>
    <w:tbl>
      <w:tblPr>
        <w:tblStyle w:val="11"/>
        <w:tblW w:w="8563" w:type="dxa"/>
        <w:tblInd w:w="99" w:type="dxa"/>
        <w:tblLayout w:type="fixed"/>
        <w:tblCellMar>
          <w:top w:w="0" w:type="dxa"/>
          <w:left w:w="0" w:type="dxa"/>
          <w:bottom w:w="0" w:type="dxa"/>
          <w:right w:w="0" w:type="dxa"/>
        </w:tblCellMar>
      </w:tblPr>
      <w:tblGrid>
        <w:gridCol w:w="1307"/>
        <w:gridCol w:w="1858"/>
        <w:gridCol w:w="1474"/>
        <w:gridCol w:w="3924"/>
      </w:tblGrid>
      <w:tr>
        <w:tblPrEx>
          <w:tblCellMar>
            <w:top w:w="0" w:type="dxa"/>
            <w:left w:w="0" w:type="dxa"/>
            <w:bottom w:w="0" w:type="dxa"/>
            <w:right w:w="0" w:type="dxa"/>
          </w:tblCellMar>
        </w:tblPrEx>
        <w:trPr>
          <w:trHeight w:val="537" w:hRule="exact"/>
        </w:trPr>
        <w:tc>
          <w:tcPr>
            <w:tcW w:w="1307" w:type="dxa"/>
            <w:tcBorders>
              <w:top w:val="single" w:color="000000" w:sz="12" w:space="0"/>
              <w:left w:val="single" w:color="000000" w:sz="12" w:space="0"/>
              <w:bottom w:val="single" w:color="000000" w:sz="6" w:space="0"/>
              <w:right w:val="single" w:color="000000" w:sz="6" w:space="0"/>
            </w:tcBorders>
            <w:noWrap w:val="0"/>
            <w:vAlign w:val="center"/>
          </w:tcPr>
          <w:p>
            <w:pPr>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演练名称</w:t>
            </w:r>
          </w:p>
        </w:tc>
        <w:tc>
          <w:tcPr>
            <w:tcW w:w="7256" w:type="dxa"/>
            <w:gridSpan w:val="3"/>
            <w:tcBorders>
              <w:top w:val="single" w:color="000000" w:sz="12" w:space="0"/>
              <w:left w:val="single" w:color="000000" w:sz="6" w:space="0"/>
              <w:bottom w:val="single" w:color="000000" w:sz="6" w:space="0"/>
              <w:right w:val="single" w:color="000000" w:sz="12" w:space="0"/>
            </w:tcBorders>
            <w:noWrap w:val="0"/>
            <w:vAlign w:val="center"/>
          </w:tcPr>
          <w:p>
            <w:pPr>
              <w:autoSpaceDE w:val="0"/>
              <w:autoSpaceDN w:val="0"/>
              <w:adjustRightInd w:val="0"/>
              <w:spacing w:line="240" w:lineRule="auto"/>
              <w:ind w:firstLine="0" w:firstLineChars="0"/>
              <w:rPr>
                <w:rFonts w:eastAsia="宋体"/>
                <w:color w:val="000000"/>
                <w:kern w:val="0"/>
                <w:sz w:val="24"/>
                <w:szCs w:val="24"/>
              </w:rPr>
            </w:pPr>
          </w:p>
        </w:tc>
      </w:tr>
      <w:tr>
        <w:tblPrEx>
          <w:tblCellMar>
            <w:top w:w="0" w:type="dxa"/>
            <w:left w:w="0" w:type="dxa"/>
            <w:bottom w:w="0" w:type="dxa"/>
            <w:right w:w="0" w:type="dxa"/>
          </w:tblCellMar>
        </w:tblPrEx>
        <w:trPr>
          <w:trHeight w:val="445" w:hRule="exact"/>
        </w:trPr>
        <w:tc>
          <w:tcPr>
            <w:tcW w:w="1307" w:type="dxa"/>
            <w:tcBorders>
              <w:top w:val="single" w:color="000000" w:sz="6" w:space="0"/>
              <w:left w:val="single" w:color="000000" w:sz="12" w:space="0"/>
              <w:bottom w:val="single" w:color="000000" w:sz="6" w:space="0"/>
              <w:right w:val="single" w:color="000000" w:sz="6" w:space="0"/>
            </w:tcBorders>
            <w:noWrap w:val="0"/>
            <w:vAlign w:val="center"/>
          </w:tcPr>
          <w:p>
            <w:pPr>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演练时间</w:t>
            </w:r>
          </w:p>
        </w:tc>
        <w:tc>
          <w:tcPr>
            <w:tcW w:w="1858" w:type="dxa"/>
            <w:tcBorders>
              <w:top w:val="single" w:color="000000" w:sz="6" w:space="0"/>
              <w:left w:val="single" w:color="000000" w:sz="6" w:space="0"/>
              <w:bottom w:val="single" w:color="000000" w:sz="6" w:space="0"/>
              <w:right w:val="single" w:color="000000" w:sz="6" w:space="0"/>
            </w:tcBorders>
            <w:noWrap w:val="0"/>
            <w:vAlign w:val="center"/>
          </w:tcPr>
          <w:p>
            <w:pPr>
              <w:tabs>
                <w:tab w:val="left" w:pos="1008"/>
                <w:tab w:val="left" w:pos="1428"/>
              </w:tabs>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年</w:t>
            </w:r>
            <w:r>
              <w:rPr>
                <w:color w:val="000000"/>
                <w:kern w:val="0"/>
                <w:sz w:val="24"/>
                <w:szCs w:val="24"/>
              </w:rPr>
              <w:tab/>
            </w:r>
            <w:r>
              <w:rPr>
                <w:color w:val="000000"/>
                <w:kern w:val="0"/>
                <w:sz w:val="24"/>
                <w:szCs w:val="24"/>
              </w:rPr>
              <w:t>月</w:t>
            </w:r>
            <w:r>
              <w:rPr>
                <w:color w:val="000000"/>
                <w:kern w:val="0"/>
                <w:sz w:val="24"/>
                <w:szCs w:val="24"/>
              </w:rPr>
              <w:tab/>
            </w:r>
            <w:r>
              <w:rPr>
                <w:color w:val="000000"/>
                <w:kern w:val="0"/>
                <w:sz w:val="24"/>
                <w:szCs w:val="24"/>
              </w:rPr>
              <w:t>日</w:t>
            </w:r>
          </w:p>
        </w:tc>
        <w:tc>
          <w:tcPr>
            <w:tcW w:w="1474" w:type="dxa"/>
            <w:tcBorders>
              <w:top w:val="single" w:color="000000" w:sz="6" w:space="0"/>
              <w:left w:val="single" w:color="000000" w:sz="6" w:space="0"/>
              <w:bottom w:val="single" w:color="000000" w:sz="6" w:space="0"/>
              <w:right w:val="single" w:color="000000" w:sz="6" w:space="0"/>
            </w:tcBorders>
            <w:noWrap w:val="0"/>
            <w:vAlign w:val="center"/>
          </w:tcPr>
          <w:p>
            <w:pPr>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演练地点</w:t>
            </w:r>
          </w:p>
        </w:tc>
        <w:tc>
          <w:tcPr>
            <w:tcW w:w="3924" w:type="dxa"/>
            <w:tcBorders>
              <w:top w:val="single" w:color="000000" w:sz="6" w:space="0"/>
              <w:left w:val="single" w:color="000000" w:sz="6" w:space="0"/>
              <w:bottom w:val="single" w:color="000000" w:sz="6" w:space="0"/>
              <w:right w:val="single" w:color="000000" w:sz="12" w:space="0"/>
            </w:tcBorders>
            <w:noWrap w:val="0"/>
            <w:vAlign w:val="center"/>
          </w:tcPr>
          <w:p>
            <w:pPr>
              <w:autoSpaceDE w:val="0"/>
              <w:autoSpaceDN w:val="0"/>
              <w:adjustRightInd w:val="0"/>
              <w:spacing w:line="240" w:lineRule="auto"/>
              <w:ind w:firstLine="0" w:firstLineChars="0"/>
              <w:rPr>
                <w:rFonts w:eastAsia="宋体"/>
                <w:color w:val="000000"/>
                <w:kern w:val="0"/>
                <w:sz w:val="24"/>
                <w:szCs w:val="24"/>
              </w:rPr>
            </w:pPr>
          </w:p>
        </w:tc>
      </w:tr>
      <w:tr>
        <w:tblPrEx>
          <w:tblCellMar>
            <w:top w:w="0" w:type="dxa"/>
            <w:left w:w="0" w:type="dxa"/>
            <w:bottom w:w="0" w:type="dxa"/>
            <w:right w:w="0" w:type="dxa"/>
          </w:tblCellMar>
        </w:tblPrEx>
        <w:trPr>
          <w:trHeight w:val="447" w:hRule="exact"/>
        </w:trPr>
        <w:tc>
          <w:tcPr>
            <w:tcW w:w="1307" w:type="dxa"/>
            <w:tcBorders>
              <w:top w:val="single" w:color="000000" w:sz="6" w:space="0"/>
              <w:left w:val="single" w:color="000000" w:sz="12" w:space="0"/>
              <w:bottom w:val="single" w:color="000000" w:sz="6" w:space="0"/>
              <w:right w:val="single" w:color="000000" w:sz="6" w:space="0"/>
            </w:tcBorders>
            <w:noWrap w:val="0"/>
            <w:vAlign w:val="center"/>
          </w:tcPr>
          <w:p>
            <w:pPr>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参加人员</w:t>
            </w:r>
          </w:p>
        </w:tc>
        <w:tc>
          <w:tcPr>
            <w:tcW w:w="7256" w:type="dxa"/>
            <w:gridSpan w:val="3"/>
            <w:tcBorders>
              <w:top w:val="single" w:color="000000" w:sz="6" w:space="0"/>
              <w:left w:val="single" w:color="000000" w:sz="6" w:space="0"/>
              <w:bottom w:val="single" w:color="000000" w:sz="6" w:space="0"/>
              <w:right w:val="single" w:color="000000" w:sz="12" w:space="0"/>
            </w:tcBorders>
            <w:noWrap w:val="0"/>
            <w:vAlign w:val="center"/>
          </w:tcPr>
          <w:p>
            <w:pPr>
              <w:autoSpaceDE w:val="0"/>
              <w:autoSpaceDN w:val="0"/>
              <w:adjustRightInd w:val="0"/>
              <w:spacing w:line="240" w:lineRule="auto"/>
              <w:ind w:firstLine="0" w:firstLineChars="0"/>
              <w:rPr>
                <w:rFonts w:eastAsia="宋体"/>
                <w:color w:val="000000"/>
                <w:kern w:val="0"/>
                <w:sz w:val="24"/>
                <w:szCs w:val="24"/>
              </w:rPr>
            </w:pPr>
          </w:p>
        </w:tc>
      </w:tr>
      <w:tr>
        <w:tblPrEx>
          <w:tblCellMar>
            <w:top w:w="0" w:type="dxa"/>
            <w:left w:w="0" w:type="dxa"/>
            <w:bottom w:w="0" w:type="dxa"/>
            <w:right w:w="0" w:type="dxa"/>
          </w:tblCellMar>
        </w:tblPrEx>
        <w:trPr>
          <w:trHeight w:val="368" w:hRule="exact"/>
        </w:trPr>
        <w:tc>
          <w:tcPr>
            <w:tcW w:w="1307" w:type="dxa"/>
            <w:tcBorders>
              <w:top w:val="single" w:color="000000" w:sz="6" w:space="0"/>
              <w:left w:val="single" w:color="000000" w:sz="12" w:space="0"/>
              <w:bottom w:val="single" w:color="000000" w:sz="6" w:space="0"/>
              <w:right w:val="single" w:color="000000" w:sz="6" w:space="0"/>
            </w:tcBorders>
            <w:noWrap w:val="0"/>
            <w:vAlign w:val="center"/>
          </w:tcPr>
          <w:p>
            <w:pPr>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演练目的</w:t>
            </w:r>
          </w:p>
        </w:tc>
        <w:tc>
          <w:tcPr>
            <w:tcW w:w="7256" w:type="dxa"/>
            <w:gridSpan w:val="3"/>
            <w:tcBorders>
              <w:top w:val="single" w:color="000000" w:sz="6" w:space="0"/>
              <w:left w:val="single" w:color="000000" w:sz="6" w:space="0"/>
              <w:bottom w:val="single" w:color="000000" w:sz="6" w:space="0"/>
              <w:right w:val="single" w:color="000000" w:sz="12" w:space="0"/>
            </w:tcBorders>
            <w:noWrap w:val="0"/>
            <w:vAlign w:val="center"/>
          </w:tcPr>
          <w:p>
            <w:pPr>
              <w:autoSpaceDE w:val="0"/>
              <w:autoSpaceDN w:val="0"/>
              <w:adjustRightInd w:val="0"/>
              <w:spacing w:line="240" w:lineRule="auto"/>
              <w:ind w:firstLine="0" w:firstLineChars="0"/>
              <w:rPr>
                <w:rFonts w:eastAsia="宋体"/>
                <w:color w:val="000000"/>
                <w:kern w:val="0"/>
                <w:sz w:val="24"/>
                <w:szCs w:val="24"/>
              </w:rPr>
            </w:pPr>
          </w:p>
        </w:tc>
      </w:tr>
      <w:tr>
        <w:tblPrEx>
          <w:tblCellMar>
            <w:top w:w="0" w:type="dxa"/>
            <w:left w:w="0" w:type="dxa"/>
            <w:bottom w:w="0" w:type="dxa"/>
            <w:right w:w="0" w:type="dxa"/>
          </w:tblCellMar>
        </w:tblPrEx>
        <w:trPr>
          <w:trHeight w:val="2985" w:hRule="exact"/>
        </w:trPr>
        <w:tc>
          <w:tcPr>
            <w:tcW w:w="1307" w:type="dxa"/>
            <w:tcBorders>
              <w:top w:val="single" w:color="000000" w:sz="6" w:space="0"/>
              <w:left w:val="single" w:color="000000" w:sz="12" w:space="0"/>
              <w:bottom w:val="single" w:color="000000" w:sz="6" w:space="0"/>
              <w:right w:val="single" w:color="000000" w:sz="6" w:space="0"/>
            </w:tcBorders>
            <w:noWrap w:val="0"/>
            <w:vAlign w:val="center"/>
          </w:tcPr>
          <w:p>
            <w:pPr>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演练内容</w:t>
            </w:r>
          </w:p>
        </w:tc>
        <w:tc>
          <w:tcPr>
            <w:tcW w:w="7256" w:type="dxa"/>
            <w:gridSpan w:val="3"/>
            <w:tcBorders>
              <w:top w:val="single" w:color="000000" w:sz="6" w:space="0"/>
              <w:left w:val="single" w:color="000000" w:sz="6" w:space="0"/>
              <w:bottom w:val="single" w:color="000000" w:sz="6" w:space="0"/>
              <w:right w:val="single" w:color="000000" w:sz="12" w:space="0"/>
            </w:tcBorders>
            <w:noWrap w:val="0"/>
            <w:vAlign w:val="center"/>
          </w:tcPr>
          <w:p>
            <w:pPr>
              <w:autoSpaceDE w:val="0"/>
              <w:autoSpaceDN w:val="0"/>
              <w:adjustRightInd w:val="0"/>
              <w:spacing w:line="240" w:lineRule="auto"/>
              <w:ind w:firstLine="0" w:firstLineChars="0"/>
              <w:rPr>
                <w:rFonts w:eastAsia="宋体"/>
                <w:color w:val="000000"/>
                <w:kern w:val="0"/>
                <w:sz w:val="24"/>
                <w:szCs w:val="24"/>
              </w:rPr>
            </w:pPr>
          </w:p>
        </w:tc>
      </w:tr>
      <w:tr>
        <w:tblPrEx>
          <w:tblCellMar>
            <w:top w:w="0" w:type="dxa"/>
            <w:left w:w="0" w:type="dxa"/>
            <w:bottom w:w="0" w:type="dxa"/>
            <w:right w:w="0" w:type="dxa"/>
          </w:tblCellMar>
        </w:tblPrEx>
        <w:trPr>
          <w:trHeight w:val="513" w:hRule="exact"/>
        </w:trPr>
        <w:tc>
          <w:tcPr>
            <w:tcW w:w="1307" w:type="dxa"/>
            <w:tcBorders>
              <w:top w:val="single" w:color="000000" w:sz="6" w:space="0"/>
              <w:left w:val="single" w:color="000000" w:sz="12" w:space="0"/>
              <w:bottom w:val="single" w:color="000000" w:sz="6" w:space="0"/>
              <w:right w:val="single" w:color="000000" w:sz="6" w:space="0"/>
            </w:tcBorders>
            <w:noWrap w:val="0"/>
            <w:vAlign w:val="center"/>
          </w:tcPr>
          <w:p>
            <w:pPr>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基本评价</w:t>
            </w:r>
          </w:p>
        </w:tc>
        <w:tc>
          <w:tcPr>
            <w:tcW w:w="7256" w:type="dxa"/>
            <w:gridSpan w:val="3"/>
            <w:tcBorders>
              <w:top w:val="single" w:color="000000" w:sz="6" w:space="0"/>
              <w:left w:val="single" w:color="000000" w:sz="6" w:space="0"/>
              <w:bottom w:val="single" w:color="000000" w:sz="6" w:space="0"/>
              <w:right w:val="single" w:color="000000" w:sz="12" w:space="0"/>
            </w:tcBorders>
            <w:noWrap w:val="0"/>
            <w:vAlign w:val="center"/>
          </w:tcPr>
          <w:p>
            <w:pPr>
              <w:autoSpaceDE w:val="0"/>
              <w:autoSpaceDN w:val="0"/>
              <w:adjustRightInd w:val="0"/>
              <w:spacing w:line="240" w:lineRule="auto"/>
              <w:ind w:firstLine="0" w:firstLineChars="0"/>
              <w:rPr>
                <w:rFonts w:eastAsia="宋体"/>
                <w:color w:val="000000"/>
                <w:kern w:val="0"/>
                <w:sz w:val="24"/>
                <w:szCs w:val="24"/>
              </w:rPr>
            </w:pPr>
          </w:p>
        </w:tc>
      </w:tr>
      <w:tr>
        <w:tblPrEx>
          <w:tblCellMar>
            <w:top w:w="0" w:type="dxa"/>
            <w:left w:w="0" w:type="dxa"/>
            <w:bottom w:w="0" w:type="dxa"/>
            <w:right w:w="0" w:type="dxa"/>
          </w:tblCellMar>
        </w:tblPrEx>
        <w:trPr>
          <w:trHeight w:val="817" w:hRule="exact"/>
        </w:trPr>
        <w:tc>
          <w:tcPr>
            <w:tcW w:w="1307" w:type="dxa"/>
            <w:tcBorders>
              <w:top w:val="single" w:color="000000" w:sz="6" w:space="0"/>
              <w:left w:val="single" w:color="000000" w:sz="12" w:space="0"/>
              <w:bottom w:val="single" w:color="000000" w:sz="6" w:space="0"/>
              <w:right w:val="single" w:color="000000" w:sz="6" w:space="0"/>
            </w:tcBorders>
            <w:noWrap w:val="0"/>
            <w:vAlign w:val="center"/>
          </w:tcPr>
          <w:p>
            <w:pPr>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存在不足</w:t>
            </w:r>
          </w:p>
        </w:tc>
        <w:tc>
          <w:tcPr>
            <w:tcW w:w="7256" w:type="dxa"/>
            <w:gridSpan w:val="3"/>
            <w:tcBorders>
              <w:top w:val="single" w:color="000000" w:sz="6" w:space="0"/>
              <w:left w:val="single" w:color="000000" w:sz="6" w:space="0"/>
              <w:bottom w:val="single" w:color="000000" w:sz="6" w:space="0"/>
              <w:right w:val="single" w:color="000000" w:sz="12" w:space="0"/>
            </w:tcBorders>
            <w:noWrap w:val="0"/>
            <w:vAlign w:val="center"/>
          </w:tcPr>
          <w:p>
            <w:pPr>
              <w:autoSpaceDE w:val="0"/>
              <w:autoSpaceDN w:val="0"/>
              <w:adjustRightInd w:val="0"/>
              <w:spacing w:line="240" w:lineRule="auto"/>
              <w:ind w:firstLine="0" w:firstLineChars="0"/>
              <w:rPr>
                <w:rFonts w:eastAsia="宋体"/>
                <w:color w:val="000000"/>
                <w:kern w:val="0"/>
                <w:sz w:val="24"/>
                <w:szCs w:val="24"/>
              </w:rPr>
            </w:pPr>
          </w:p>
        </w:tc>
      </w:tr>
      <w:tr>
        <w:tblPrEx>
          <w:tblCellMar>
            <w:top w:w="0" w:type="dxa"/>
            <w:left w:w="0" w:type="dxa"/>
            <w:bottom w:w="0" w:type="dxa"/>
            <w:right w:w="0" w:type="dxa"/>
          </w:tblCellMar>
        </w:tblPrEx>
        <w:trPr>
          <w:trHeight w:val="665" w:hRule="exact"/>
        </w:trPr>
        <w:tc>
          <w:tcPr>
            <w:tcW w:w="1307" w:type="dxa"/>
            <w:tcBorders>
              <w:top w:val="single" w:color="000000" w:sz="6" w:space="0"/>
              <w:left w:val="single" w:color="000000" w:sz="12" w:space="0"/>
              <w:bottom w:val="single" w:color="000000" w:sz="12" w:space="0"/>
              <w:right w:val="single" w:color="000000" w:sz="6" w:space="0"/>
            </w:tcBorders>
            <w:noWrap w:val="0"/>
            <w:vAlign w:val="center"/>
          </w:tcPr>
          <w:p>
            <w:pPr>
              <w:kinsoku w:val="0"/>
              <w:overflowPunct w:val="0"/>
              <w:autoSpaceDE w:val="0"/>
              <w:autoSpaceDN w:val="0"/>
              <w:adjustRightInd w:val="0"/>
              <w:spacing w:line="240" w:lineRule="auto"/>
              <w:ind w:firstLine="0" w:firstLineChars="0"/>
              <w:rPr>
                <w:rFonts w:eastAsia="宋体"/>
                <w:color w:val="000000"/>
                <w:kern w:val="0"/>
                <w:sz w:val="24"/>
                <w:szCs w:val="24"/>
              </w:rPr>
            </w:pPr>
            <w:r>
              <w:rPr>
                <w:color w:val="000000"/>
                <w:kern w:val="0"/>
                <w:sz w:val="24"/>
                <w:szCs w:val="24"/>
              </w:rPr>
              <w:t>改进建议</w:t>
            </w:r>
          </w:p>
        </w:tc>
        <w:tc>
          <w:tcPr>
            <w:tcW w:w="7256" w:type="dxa"/>
            <w:gridSpan w:val="3"/>
            <w:tcBorders>
              <w:top w:val="single" w:color="000000" w:sz="6" w:space="0"/>
              <w:left w:val="single" w:color="000000" w:sz="6" w:space="0"/>
              <w:bottom w:val="single" w:color="000000" w:sz="12" w:space="0"/>
              <w:right w:val="single" w:color="000000" w:sz="12" w:space="0"/>
            </w:tcBorders>
            <w:noWrap w:val="0"/>
            <w:vAlign w:val="center"/>
          </w:tcPr>
          <w:p>
            <w:pPr>
              <w:autoSpaceDE w:val="0"/>
              <w:autoSpaceDN w:val="0"/>
              <w:adjustRightInd w:val="0"/>
              <w:spacing w:line="240" w:lineRule="auto"/>
              <w:ind w:firstLine="0" w:firstLineChars="0"/>
              <w:rPr>
                <w:rFonts w:eastAsia="宋体"/>
                <w:color w:val="000000"/>
                <w:kern w:val="0"/>
                <w:sz w:val="24"/>
                <w:szCs w:val="24"/>
              </w:rPr>
            </w:pPr>
          </w:p>
        </w:tc>
      </w:tr>
    </w:tbl>
    <w:p>
      <w:pPr>
        <w:pStyle w:val="2"/>
        <w:rPr>
          <w:rFonts w:ascii="Times New Roman" w:hAnsi="Times New Roman" w:cs="Times New Roman"/>
        </w:rPr>
        <w:sectPr>
          <w:pgSz w:w="11906" w:h="16838"/>
          <w:pgMar w:top="1440" w:right="1803" w:bottom="1440" w:left="1803" w:header="851" w:footer="391" w:gutter="0"/>
          <w:cols w:space="720" w:num="1"/>
          <w:docGrid w:type="linesAndChars" w:linePitch="312" w:charSpace="0"/>
        </w:sectPr>
      </w:pPr>
    </w:p>
    <w:p>
      <w:pPr>
        <w:pStyle w:val="3"/>
        <w:rPr>
          <w:color w:val="000000"/>
        </w:rPr>
      </w:pPr>
      <w:bookmarkStart w:id="77" w:name="_Toc120195414"/>
      <w:r>
        <w:rPr>
          <w:color w:val="000000"/>
        </w:rPr>
        <w:t>10奖惩</w:t>
      </w:r>
      <w:bookmarkEnd w:id="77"/>
    </w:p>
    <w:p>
      <w:pPr>
        <w:pStyle w:val="4"/>
        <w:rPr>
          <w:color w:val="000000"/>
        </w:rPr>
      </w:pPr>
      <w:bookmarkStart w:id="78" w:name="_Toc120195415"/>
      <w:r>
        <w:rPr>
          <w:color w:val="000000"/>
        </w:rPr>
        <w:t>10.1 奖励</w:t>
      </w:r>
      <w:bookmarkEnd w:id="78"/>
    </w:p>
    <w:p>
      <w:pPr>
        <w:ind w:firstLine="560"/>
        <w:jc w:val="left"/>
        <w:rPr>
          <w:color w:val="000000"/>
          <w:szCs w:val="24"/>
        </w:rPr>
      </w:pPr>
      <w:r>
        <w:rPr>
          <w:color w:val="000000"/>
          <w:szCs w:val="24"/>
        </w:rPr>
        <w:t>在应急救援工作中有下列表现之一的单位和个人，应依据有关规定给予奖励：</w:t>
      </w:r>
    </w:p>
    <w:p>
      <w:pPr>
        <w:ind w:firstLine="560"/>
        <w:jc w:val="left"/>
        <w:rPr>
          <w:color w:val="000000"/>
          <w:szCs w:val="24"/>
        </w:rPr>
      </w:pPr>
      <w:r>
        <w:rPr>
          <w:color w:val="000000"/>
          <w:szCs w:val="24"/>
        </w:rPr>
        <w:t>（1）出色完成应急处置任务，成绩显著的。</w:t>
      </w:r>
    </w:p>
    <w:p>
      <w:pPr>
        <w:ind w:firstLine="560"/>
        <w:jc w:val="left"/>
        <w:rPr>
          <w:color w:val="000000"/>
          <w:szCs w:val="24"/>
        </w:rPr>
      </w:pPr>
      <w:r>
        <w:rPr>
          <w:rFonts w:eastAsia="宋体"/>
          <w:color w:val="000000"/>
          <w:szCs w:val="24"/>
        </w:rPr>
        <w:t>（2）</w:t>
      </w:r>
      <w:r>
        <w:rPr>
          <w:color w:val="000000"/>
          <w:szCs w:val="24"/>
        </w:rPr>
        <w:t>减少环境事件造成的损失，使国家、集体和人民群众的财产免受损失或者减少损失的。</w:t>
      </w:r>
    </w:p>
    <w:p>
      <w:pPr>
        <w:ind w:firstLine="560"/>
        <w:jc w:val="left"/>
        <w:rPr>
          <w:color w:val="000000"/>
          <w:szCs w:val="24"/>
        </w:rPr>
      </w:pPr>
      <w:r>
        <w:rPr>
          <w:rFonts w:eastAsia="宋体"/>
          <w:color w:val="000000"/>
          <w:szCs w:val="24"/>
        </w:rPr>
        <w:t>（3）</w:t>
      </w:r>
      <w:r>
        <w:rPr>
          <w:color w:val="000000"/>
          <w:szCs w:val="24"/>
        </w:rPr>
        <w:t>对应急救援工作提出重大建议，实施效果显著的。</w:t>
      </w:r>
    </w:p>
    <w:p>
      <w:pPr>
        <w:ind w:firstLine="560"/>
        <w:jc w:val="left"/>
        <w:rPr>
          <w:color w:val="000000"/>
          <w:szCs w:val="24"/>
        </w:rPr>
      </w:pPr>
      <w:r>
        <w:rPr>
          <w:rFonts w:eastAsia="宋体"/>
          <w:color w:val="000000"/>
          <w:szCs w:val="24"/>
        </w:rPr>
        <w:t>（4）</w:t>
      </w:r>
      <w:r>
        <w:rPr>
          <w:color w:val="000000"/>
          <w:szCs w:val="24"/>
        </w:rPr>
        <w:t>有其他特殊贡献的。</w:t>
      </w:r>
    </w:p>
    <w:p>
      <w:pPr>
        <w:pStyle w:val="4"/>
        <w:rPr>
          <w:color w:val="000000"/>
        </w:rPr>
      </w:pPr>
      <w:bookmarkStart w:id="79" w:name="bookmark54"/>
      <w:bookmarkEnd w:id="79"/>
      <w:bookmarkStart w:id="80" w:name="_Toc120195416"/>
      <w:r>
        <w:rPr>
          <w:color w:val="000000"/>
        </w:rPr>
        <w:t>10.2 责任追究</w:t>
      </w:r>
      <w:bookmarkEnd w:id="80"/>
    </w:p>
    <w:p>
      <w:pPr>
        <w:ind w:firstLine="560"/>
        <w:jc w:val="left"/>
        <w:rPr>
          <w:color w:val="000000"/>
          <w:szCs w:val="24"/>
        </w:rPr>
      </w:pPr>
      <w:r>
        <w:rPr>
          <w:color w:val="000000"/>
          <w:szCs w:val="24"/>
        </w:rPr>
        <w:t>在应急救援工作中有下列行为之一的，按照有关法律、法规及规定，对有关责任人员视情节和危害后果，公司给予行政处分；属于违反治安管理行为的，由公安机关依照有关法律法规的规定予以处罚；构成犯罪的，由司法机关依法追究刑事责任：</w:t>
      </w:r>
    </w:p>
    <w:p>
      <w:pPr>
        <w:ind w:firstLine="560"/>
        <w:jc w:val="left"/>
        <w:rPr>
          <w:color w:val="000000"/>
          <w:szCs w:val="24"/>
        </w:rPr>
      </w:pPr>
      <w:r>
        <w:rPr>
          <w:color w:val="000000"/>
          <w:szCs w:val="24"/>
        </w:rPr>
        <w:t>（1）不按照规定制定突发环境事件应急预案，拒绝履行应急准备义务的。</w:t>
      </w:r>
    </w:p>
    <w:p>
      <w:pPr>
        <w:ind w:firstLine="560"/>
        <w:jc w:val="left"/>
        <w:rPr>
          <w:color w:val="000000"/>
          <w:szCs w:val="24"/>
        </w:rPr>
      </w:pPr>
      <w:r>
        <w:rPr>
          <w:color w:val="000000"/>
          <w:szCs w:val="24"/>
        </w:rPr>
        <w:t>（2）不按照规定报告、通报环境事件灾难真实情况的。</w:t>
      </w:r>
    </w:p>
    <w:p>
      <w:pPr>
        <w:ind w:firstLine="560"/>
        <w:jc w:val="left"/>
        <w:rPr>
          <w:color w:val="000000"/>
          <w:szCs w:val="24"/>
        </w:rPr>
      </w:pPr>
      <w:r>
        <w:rPr>
          <w:color w:val="000000"/>
          <w:szCs w:val="24"/>
        </w:rPr>
        <w:t>（3）拒不执行应急预案，不服从命令和指挥，或者在应急响应时临阵脱逃的。</w:t>
      </w:r>
    </w:p>
    <w:p>
      <w:pPr>
        <w:ind w:firstLine="560"/>
        <w:jc w:val="left"/>
        <w:rPr>
          <w:color w:val="000000"/>
          <w:szCs w:val="24"/>
        </w:rPr>
      </w:pPr>
      <w:r>
        <w:rPr>
          <w:color w:val="000000"/>
          <w:szCs w:val="24"/>
        </w:rPr>
        <w:t>（4）盗窃、挪用、贪污应急救援资金或者物资的。</w:t>
      </w:r>
    </w:p>
    <w:p>
      <w:pPr>
        <w:ind w:firstLine="560"/>
        <w:jc w:val="left"/>
        <w:rPr>
          <w:color w:val="000000"/>
          <w:szCs w:val="24"/>
        </w:rPr>
      </w:pPr>
      <w:r>
        <w:rPr>
          <w:color w:val="000000"/>
          <w:szCs w:val="24"/>
        </w:rPr>
        <w:t>（5）阻碍应急工作人员依法执行任务或者进行破坏活动的。</w:t>
      </w:r>
    </w:p>
    <w:p>
      <w:pPr>
        <w:ind w:firstLine="560"/>
        <w:jc w:val="left"/>
        <w:rPr>
          <w:color w:val="000000"/>
          <w:szCs w:val="24"/>
        </w:rPr>
      </w:pPr>
      <w:r>
        <w:rPr>
          <w:color w:val="000000"/>
          <w:szCs w:val="24"/>
        </w:rPr>
        <w:t>（6）散布谣言，扰乱社会秩序的。</w:t>
      </w:r>
    </w:p>
    <w:p>
      <w:pPr>
        <w:ind w:firstLine="560"/>
        <w:jc w:val="left"/>
        <w:rPr>
          <w:color w:val="000000"/>
          <w:szCs w:val="24"/>
        </w:rPr>
      </w:pPr>
      <w:r>
        <w:rPr>
          <w:color w:val="000000"/>
          <w:szCs w:val="24"/>
        </w:rPr>
        <w:t>（7）有其他危害环境应急工作行为的。</w:t>
      </w:r>
    </w:p>
    <w:p>
      <w:pPr>
        <w:pStyle w:val="2"/>
        <w:rPr>
          <w:rFonts w:ascii="Times New Roman" w:hAnsi="Times New Roman" w:cs="Times New Roman"/>
        </w:rPr>
      </w:pPr>
    </w:p>
    <w:p>
      <w:pPr>
        <w:pStyle w:val="3"/>
        <w:rPr>
          <w:color w:val="000000"/>
        </w:rPr>
      </w:pPr>
      <w:bookmarkStart w:id="81" w:name="_Toc120195417"/>
      <w:r>
        <w:rPr>
          <w:color w:val="000000"/>
        </w:rPr>
        <w:t>11预案的评审、发布和更新</w:t>
      </w:r>
      <w:bookmarkEnd w:id="81"/>
    </w:p>
    <w:p>
      <w:pPr>
        <w:pStyle w:val="4"/>
        <w:rPr>
          <w:color w:val="000000"/>
        </w:rPr>
      </w:pPr>
      <w:bookmarkStart w:id="82" w:name="_Toc120195418"/>
      <w:r>
        <w:rPr>
          <w:color w:val="000000"/>
        </w:rPr>
        <w:t>11.1预案的评审</w:t>
      </w:r>
      <w:bookmarkEnd w:id="82"/>
    </w:p>
    <w:p>
      <w:pPr>
        <w:ind w:firstLine="560"/>
        <w:jc w:val="left"/>
        <w:rPr>
          <w:color w:val="000000"/>
          <w:szCs w:val="24"/>
        </w:rPr>
      </w:pPr>
      <w:r>
        <w:rPr>
          <w:color w:val="000000"/>
          <w:szCs w:val="24"/>
        </w:rPr>
        <w:t>内部评审：应急预案草案编制完成后，应急总指挥组织各应急小组的组长对应急预案草案进行内部评审，针对应急保障措施的可行性、应急分工是否明确、合理等方面进行讨论，对不合理的地方进行修改。</w:t>
      </w:r>
    </w:p>
    <w:p>
      <w:pPr>
        <w:ind w:firstLine="560"/>
        <w:jc w:val="left"/>
        <w:rPr>
          <w:color w:val="000000"/>
        </w:rPr>
      </w:pPr>
      <w:r>
        <w:rPr>
          <w:color w:val="000000"/>
          <w:szCs w:val="24"/>
        </w:rPr>
        <w:t>外部评审：应急预案草案经内部评审后，邀请环境应急专家组成应急预案评估小组对应急预案草案进行评估。环境应急预案评估小组重点评估了环境应急预案的实用性、基本要素的完整性、内容格式的规范性、应急保障措施的可行性以及与其他相关预案的衔接性等内容。应急预案编制人员根据评估结果，对应急预案草案进行修改。</w:t>
      </w:r>
    </w:p>
    <w:p>
      <w:pPr>
        <w:pStyle w:val="4"/>
        <w:rPr>
          <w:color w:val="000000"/>
        </w:rPr>
      </w:pPr>
      <w:bookmarkStart w:id="83" w:name="_Toc120195419"/>
      <w:r>
        <w:rPr>
          <w:color w:val="000000"/>
        </w:rPr>
        <w:t>11.2预案的发布及更新</w:t>
      </w:r>
      <w:bookmarkEnd w:id="83"/>
    </w:p>
    <w:p>
      <w:pPr>
        <w:ind w:firstLine="560"/>
        <w:jc w:val="left"/>
        <w:rPr>
          <w:color w:val="000000"/>
          <w:szCs w:val="24"/>
        </w:rPr>
      </w:pPr>
      <w:r>
        <w:rPr>
          <w:color w:val="000000"/>
          <w:szCs w:val="24"/>
        </w:rPr>
        <w:t>本预案发布之日起实施生效，公司指挥部负责本预案的管理工作，公司启动应急救援预案或进行演练后，负责对救援情况和演练效果进行评价，提出修订意见，经公司总经理批准后及时修订本预案。</w:t>
      </w:r>
    </w:p>
    <w:p>
      <w:pPr>
        <w:ind w:firstLine="560"/>
        <w:jc w:val="left"/>
        <w:rPr>
          <w:color w:val="000000"/>
          <w:szCs w:val="24"/>
        </w:rPr>
      </w:pPr>
      <w:r>
        <w:rPr>
          <w:color w:val="000000"/>
          <w:szCs w:val="24"/>
        </w:rPr>
        <w:t>公司环境事故应急预案每三年至少进行一次回顾性评估；有下列情形之一的，公司环境事故应急预案应当及时进行修订：</w:t>
      </w:r>
    </w:p>
    <w:p>
      <w:pPr>
        <w:ind w:firstLine="560"/>
        <w:jc w:val="left"/>
        <w:rPr>
          <w:color w:val="000000"/>
          <w:szCs w:val="24"/>
        </w:rPr>
      </w:pPr>
      <w:r>
        <w:rPr>
          <w:color w:val="000000"/>
          <w:szCs w:val="24"/>
        </w:rPr>
        <w:t>（一）面临的环境风险发生重大变化，需要重新进行环境风险评估的；</w:t>
      </w:r>
    </w:p>
    <w:p>
      <w:pPr>
        <w:ind w:firstLine="560"/>
        <w:jc w:val="left"/>
        <w:rPr>
          <w:color w:val="000000"/>
          <w:szCs w:val="24"/>
        </w:rPr>
      </w:pPr>
      <w:r>
        <w:rPr>
          <w:color w:val="000000"/>
          <w:szCs w:val="24"/>
        </w:rPr>
        <w:t>（二）应急管理组织指挥体系与职责发生重大变化的；</w:t>
      </w:r>
    </w:p>
    <w:p>
      <w:pPr>
        <w:ind w:firstLine="560"/>
        <w:jc w:val="left"/>
        <w:rPr>
          <w:color w:val="000000"/>
          <w:szCs w:val="24"/>
        </w:rPr>
      </w:pPr>
      <w:r>
        <w:rPr>
          <w:color w:val="000000"/>
          <w:szCs w:val="24"/>
        </w:rPr>
        <w:t>（三）环境应急监测预警及报告机制、应对流程和措施、应急保障措施发生重大变化的；</w:t>
      </w:r>
    </w:p>
    <w:p>
      <w:pPr>
        <w:ind w:firstLine="560"/>
        <w:rPr>
          <w:color w:val="000000"/>
        </w:rPr>
      </w:pPr>
      <w:r>
        <w:rPr>
          <w:color w:val="000000"/>
          <w:szCs w:val="24"/>
        </w:rPr>
        <w:t>（四）重要应急资源发生重大变化的；</w:t>
      </w:r>
    </w:p>
    <w:p>
      <w:pPr>
        <w:ind w:firstLine="560"/>
        <w:jc w:val="left"/>
        <w:rPr>
          <w:color w:val="000000"/>
          <w:szCs w:val="24"/>
        </w:rPr>
      </w:pPr>
      <w:r>
        <w:rPr>
          <w:color w:val="000000"/>
          <w:szCs w:val="24"/>
        </w:rPr>
        <w:t>（五）在突发事件实际应对和应急演练中发现问题，需要对环境应急预案作出重大调整的；</w:t>
      </w:r>
    </w:p>
    <w:p>
      <w:pPr>
        <w:ind w:firstLine="560"/>
        <w:jc w:val="left"/>
        <w:rPr>
          <w:color w:val="000000"/>
          <w:szCs w:val="24"/>
        </w:rPr>
      </w:pPr>
      <w:r>
        <w:rPr>
          <w:color w:val="000000"/>
          <w:szCs w:val="24"/>
        </w:rPr>
        <w:t>（六）其他需要修订的情况。</w:t>
      </w:r>
    </w:p>
    <w:p>
      <w:pPr>
        <w:ind w:firstLine="560"/>
        <w:jc w:val="left"/>
        <w:rPr>
          <w:color w:val="000000"/>
        </w:rPr>
      </w:pPr>
      <w:r>
        <w:rPr>
          <w:color w:val="000000"/>
          <w:szCs w:val="24"/>
        </w:rPr>
        <w:t>公司安全环保部应当在环境事故应急预案编制完成后</w:t>
      </w:r>
      <w:r>
        <w:rPr>
          <w:rFonts w:eastAsia="TimesNewRomanPSMT"/>
          <w:color w:val="000000"/>
          <w:szCs w:val="24"/>
        </w:rPr>
        <w:t>20</w:t>
      </w:r>
      <w:r>
        <w:rPr>
          <w:color w:val="000000"/>
          <w:szCs w:val="24"/>
        </w:rPr>
        <w:t>个工作日内报经开区生态环境局备案。</w:t>
      </w:r>
    </w:p>
    <w:p>
      <w:pPr>
        <w:pStyle w:val="4"/>
        <w:rPr>
          <w:color w:val="000000"/>
        </w:rPr>
      </w:pPr>
      <w:bookmarkStart w:id="84" w:name="_Toc120195420"/>
      <w:r>
        <w:rPr>
          <w:color w:val="000000"/>
        </w:rPr>
        <w:t>11.3抄送的部门、企业</w:t>
      </w:r>
      <w:bookmarkEnd w:id="84"/>
    </w:p>
    <w:p>
      <w:pPr>
        <w:ind w:firstLine="560"/>
        <w:jc w:val="left"/>
        <w:rPr>
          <w:color w:val="000000"/>
          <w:szCs w:val="24"/>
        </w:rPr>
        <w:sectPr>
          <w:pgSz w:w="11906" w:h="16838"/>
          <w:pgMar w:top="1134" w:right="1418" w:bottom="1134" w:left="1418" w:header="851" w:footer="394" w:gutter="0"/>
          <w:cols w:space="720" w:num="1"/>
          <w:docGrid w:type="linesAndChars" w:linePitch="312" w:charSpace="0"/>
        </w:sectPr>
      </w:pPr>
      <w:r>
        <w:rPr>
          <w:color w:val="000000"/>
          <w:szCs w:val="24"/>
        </w:rPr>
        <w:t>该应急预案编制完成，以公司正式文件发布后。抄送总公司及周边村庄、企业。</w:t>
      </w:r>
    </w:p>
    <w:p>
      <w:pPr>
        <w:pStyle w:val="3"/>
        <w:rPr>
          <w:color w:val="000000"/>
        </w:rPr>
      </w:pPr>
      <w:bookmarkStart w:id="85" w:name="_Toc120195421"/>
      <w:r>
        <w:rPr>
          <w:color w:val="000000"/>
        </w:rPr>
        <w:t>12预案实施、生效的时间和更新要求</w:t>
      </w:r>
      <w:bookmarkEnd w:id="85"/>
    </w:p>
    <w:p>
      <w:pPr>
        <w:pStyle w:val="4"/>
        <w:rPr>
          <w:color w:val="000000"/>
        </w:rPr>
      </w:pPr>
      <w:bookmarkStart w:id="86" w:name="_Toc120195422"/>
      <w:r>
        <w:rPr>
          <w:color w:val="000000"/>
        </w:rPr>
        <w:t>12.1预案的制定与解释</w:t>
      </w:r>
      <w:bookmarkEnd w:id="86"/>
    </w:p>
    <w:p>
      <w:pPr>
        <w:ind w:firstLine="560"/>
        <w:jc w:val="left"/>
        <w:rPr>
          <w:color w:val="000000"/>
          <w:szCs w:val="24"/>
        </w:rPr>
      </w:pPr>
      <w:r>
        <w:rPr>
          <w:color w:val="000000"/>
          <w:szCs w:val="24"/>
        </w:rPr>
        <w:t>本预案由公司应急指挥部组织制定，并负责解释和组织实施。</w:t>
      </w:r>
    </w:p>
    <w:p>
      <w:pPr>
        <w:pStyle w:val="4"/>
        <w:rPr>
          <w:color w:val="000000"/>
        </w:rPr>
      </w:pPr>
      <w:bookmarkStart w:id="87" w:name="bookmark61"/>
      <w:bookmarkEnd w:id="87"/>
      <w:bookmarkStart w:id="88" w:name="_Toc120195423"/>
      <w:r>
        <w:rPr>
          <w:color w:val="000000"/>
        </w:rPr>
        <w:t>12.2实施及生效时间</w:t>
      </w:r>
      <w:bookmarkEnd w:id="88"/>
    </w:p>
    <w:p>
      <w:pPr>
        <w:ind w:firstLine="560"/>
        <w:jc w:val="left"/>
        <w:rPr>
          <w:color w:val="000000"/>
          <w:szCs w:val="24"/>
        </w:rPr>
      </w:pPr>
      <w:r>
        <w:rPr>
          <w:color w:val="000000"/>
          <w:szCs w:val="24"/>
        </w:rPr>
        <w:t>发布日期即为实施及生效时间。</w:t>
      </w:r>
    </w:p>
    <w:p>
      <w:pPr>
        <w:pStyle w:val="4"/>
        <w:rPr>
          <w:color w:val="000000"/>
        </w:rPr>
      </w:pPr>
      <w:bookmarkStart w:id="89" w:name="bookmark62"/>
      <w:bookmarkEnd w:id="89"/>
      <w:bookmarkStart w:id="90" w:name="_Toc120195424"/>
      <w:r>
        <w:rPr>
          <w:color w:val="000000"/>
        </w:rPr>
        <w:t>12.3预案修订</w:t>
      </w:r>
      <w:bookmarkEnd w:id="90"/>
    </w:p>
    <w:p>
      <w:pPr>
        <w:ind w:firstLine="560"/>
        <w:jc w:val="left"/>
        <w:rPr>
          <w:color w:val="000000"/>
          <w:szCs w:val="24"/>
        </w:rPr>
      </w:pPr>
      <w:r>
        <w:rPr>
          <w:color w:val="000000"/>
          <w:szCs w:val="24"/>
        </w:rPr>
        <w:t>根据环保部发布实施的《企业事业单位突发环境事件应急预案备案管理办法（试行）》（环发〔2015〕4 号）文件，企业结合环境应急预案实施情况，至少每三年对环境应急预案进行一次回顾性评估。 有下列情形之一的，及时修订：</w:t>
      </w:r>
    </w:p>
    <w:p>
      <w:pPr>
        <w:ind w:firstLine="560"/>
        <w:jc w:val="left"/>
        <w:rPr>
          <w:color w:val="000000"/>
          <w:szCs w:val="24"/>
        </w:rPr>
      </w:pPr>
      <w:r>
        <w:rPr>
          <w:color w:val="000000"/>
          <w:szCs w:val="24"/>
        </w:rPr>
        <w:t>（一）面临的环境风险发生重大变化，需要重新进行环境风险评估的；</w:t>
      </w:r>
    </w:p>
    <w:p>
      <w:pPr>
        <w:ind w:firstLine="560"/>
        <w:jc w:val="left"/>
        <w:rPr>
          <w:color w:val="000000"/>
          <w:szCs w:val="24"/>
        </w:rPr>
      </w:pPr>
      <w:r>
        <w:rPr>
          <w:color w:val="000000"/>
          <w:szCs w:val="24"/>
        </w:rPr>
        <w:t>（二）应急管理组织指挥体系与职责发生重大变化的；</w:t>
      </w:r>
    </w:p>
    <w:p>
      <w:pPr>
        <w:ind w:firstLine="560"/>
        <w:jc w:val="left"/>
        <w:rPr>
          <w:color w:val="000000"/>
          <w:szCs w:val="24"/>
        </w:rPr>
      </w:pPr>
      <w:r>
        <w:rPr>
          <w:color w:val="000000"/>
          <w:szCs w:val="24"/>
        </w:rPr>
        <w:t>（三）环境应急监测预警及报告机制、应对流程和措施、应急保障措施发生重大变化的；</w:t>
      </w:r>
    </w:p>
    <w:p>
      <w:pPr>
        <w:ind w:firstLine="560"/>
        <w:jc w:val="left"/>
        <w:rPr>
          <w:color w:val="000000"/>
          <w:szCs w:val="24"/>
        </w:rPr>
      </w:pPr>
      <w:r>
        <w:rPr>
          <w:color w:val="000000"/>
          <w:szCs w:val="24"/>
        </w:rPr>
        <w:t>（四）重要应急资源发生重大变化的；</w:t>
      </w:r>
    </w:p>
    <w:p>
      <w:pPr>
        <w:ind w:firstLine="560"/>
        <w:jc w:val="left"/>
        <w:rPr>
          <w:color w:val="000000"/>
          <w:szCs w:val="24"/>
        </w:rPr>
      </w:pPr>
      <w:r>
        <w:rPr>
          <w:color w:val="000000"/>
          <w:szCs w:val="24"/>
        </w:rPr>
        <w:t>（五）在突发事件实际应对和应急演练中发现问题，需要对环境应急预案作出重大调整的；</w:t>
      </w:r>
    </w:p>
    <w:p>
      <w:pPr>
        <w:ind w:firstLine="560"/>
        <w:jc w:val="left"/>
        <w:rPr>
          <w:color w:val="000000"/>
          <w:szCs w:val="24"/>
        </w:rPr>
      </w:pPr>
      <w:r>
        <w:rPr>
          <w:color w:val="000000"/>
          <w:szCs w:val="24"/>
        </w:rPr>
        <w:t>（六）其他需要修订的情况。 对环境应急预案进行重大修订的，修订工作参照环境应急预案制定步骤进行。对环境应急预案个别内容进行调整的，修订工作可适当简化。</w:t>
      </w:r>
    </w:p>
    <w:p>
      <w:pPr>
        <w:ind w:firstLine="560"/>
        <w:rPr>
          <w:color w:val="000000"/>
          <w:szCs w:val="24"/>
        </w:rPr>
      </w:pPr>
      <w:r>
        <w:rPr>
          <w:color w:val="000000"/>
          <w:szCs w:val="24"/>
        </w:rPr>
        <w:t>根据实战经验、演练情况及实际情况等，应急指挥部组织定期对应急预案相关内容修订和完善。</w:t>
      </w:r>
    </w:p>
    <w:p>
      <w:pPr>
        <w:pStyle w:val="4"/>
        <w:rPr>
          <w:rFonts w:eastAsia="宋体"/>
          <w:color w:val="000000"/>
          <w:kern w:val="0"/>
          <w:sz w:val="24"/>
          <w:szCs w:val="24"/>
        </w:rPr>
      </w:pPr>
      <w:bookmarkStart w:id="91" w:name="_Toc120195425"/>
      <w:r>
        <w:rPr>
          <w:color w:val="000000"/>
        </w:rPr>
        <w:t>12.4 预案的备案</w:t>
      </w:r>
      <w:bookmarkEnd w:id="91"/>
    </w:p>
    <w:p>
      <w:pPr>
        <w:ind w:firstLine="560"/>
        <w:rPr>
          <w:color w:val="000000"/>
          <w:szCs w:val="24"/>
        </w:rPr>
      </w:pPr>
      <w:r>
        <w:rPr>
          <w:color w:val="000000"/>
          <w:szCs w:val="24"/>
        </w:rPr>
        <w:t>公司环境应急预案应当在环境应急预案签署发布之日起20个工作日内，向天津经济技术开发区生态环境局备案。</w:t>
      </w: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3"/>
        <w:rPr>
          <w:color w:val="000000"/>
        </w:rPr>
      </w:pPr>
      <w:bookmarkStart w:id="92" w:name="_Toc120195426"/>
      <w:r>
        <w:rPr>
          <w:color w:val="000000"/>
        </w:rPr>
        <w:t>13附图</w:t>
      </w:r>
      <w:bookmarkEnd w:id="92"/>
    </w:p>
    <w:p>
      <w:pPr>
        <w:ind w:firstLine="0" w:firstLineChars="0"/>
        <w:rPr>
          <w:color w:val="000000"/>
        </w:rPr>
      </w:pPr>
      <w:r>
        <w:rPr>
          <w:color w:val="000000"/>
        </w:rPr>
        <w:t>附图1  企业地理位置图</w:t>
      </w:r>
    </w:p>
    <w:p>
      <w:pPr>
        <w:ind w:firstLine="0" w:firstLineChars="0"/>
        <w:rPr>
          <w:color w:val="000000"/>
        </w:rPr>
      </w:pPr>
      <w:r>
        <w:rPr>
          <w:color w:val="000000"/>
        </w:rPr>
        <w:t>附图2  厂区平面布置图及风险单元位置图</w:t>
      </w:r>
    </w:p>
    <w:p>
      <w:pPr>
        <w:ind w:firstLine="0" w:firstLineChars="0"/>
        <w:rPr>
          <w:color w:val="000000"/>
        </w:rPr>
      </w:pPr>
      <w:r>
        <w:rPr>
          <w:color w:val="000000"/>
        </w:rPr>
        <w:t>附图3  500m范围内环境风险受体分布图</w:t>
      </w:r>
    </w:p>
    <w:p>
      <w:pPr>
        <w:ind w:firstLine="0" w:firstLineChars="0"/>
        <w:rPr>
          <w:color w:val="000000"/>
        </w:rPr>
      </w:pPr>
      <w:r>
        <w:rPr>
          <w:color w:val="000000"/>
        </w:rPr>
        <w:t>附图4  5000m范围内环境风险受体分布图</w:t>
      </w:r>
    </w:p>
    <w:p>
      <w:pPr>
        <w:ind w:firstLine="0" w:firstLineChars="0"/>
        <w:rPr>
          <w:color w:val="000000"/>
        </w:rPr>
      </w:pPr>
      <w:r>
        <w:rPr>
          <w:color w:val="000000"/>
        </w:rPr>
        <w:t>附图5  厂区雨水排口下游周边10公里范围图</w:t>
      </w:r>
    </w:p>
    <w:p>
      <w:pPr>
        <w:pStyle w:val="10"/>
        <w:ind w:firstLine="0" w:firstLineChars="0"/>
        <w:rPr>
          <w:color w:val="000000"/>
        </w:rPr>
      </w:pPr>
      <w:r>
        <w:rPr>
          <w:color w:val="000000"/>
        </w:rPr>
        <w:t>附图6  厂区污水总排口至下游污水厂流经范围示意图</w:t>
      </w:r>
    </w:p>
    <w:p>
      <w:pPr>
        <w:pStyle w:val="10"/>
        <w:ind w:firstLine="0" w:firstLineChars="0"/>
        <w:rPr>
          <w:color w:val="000000"/>
        </w:rPr>
      </w:pPr>
      <w:r>
        <w:rPr>
          <w:color w:val="000000"/>
        </w:rPr>
        <w:t>附图7  厂区内雨污水管网图</w:t>
      </w:r>
    </w:p>
    <w:p>
      <w:pPr>
        <w:pStyle w:val="10"/>
        <w:ind w:firstLine="0" w:firstLineChars="0"/>
        <w:rPr>
          <w:color w:val="000000"/>
        </w:rPr>
      </w:pPr>
      <w:r>
        <w:rPr>
          <w:color w:val="000000"/>
        </w:rPr>
        <w:t>附图8  应急疏散图</w:t>
      </w:r>
    </w:p>
    <w:p>
      <w:pPr>
        <w:pStyle w:val="3"/>
        <w:rPr>
          <w:color w:val="000000"/>
        </w:rPr>
      </w:pPr>
      <w:bookmarkStart w:id="93" w:name="_Toc120195427"/>
      <w:r>
        <w:rPr>
          <w:color w:val="000000"/>
        </w:rPr>
        <w:t>14附件</w:t>
      </w:r>
      <w:bookmarkEnd w:id="93"/>
    </w:p>
    <w:p>
      <w:pPr>
        <w:ind w:firstLine="0" w:firstLineChars="0"/>
        <w:rPr>
          <w:rFonts w:eastAsia="仿宋_GB2312"/>
          <w:color w:val="000000"/>
        </w:rPr>
      </w:pPr>
      <w:r>
        <w:rPr>
          <w:color w:val="000000"/>
        </w:rPr>
        <w:t>附件1  环境影响评价相关文件</w:t>
      </w:r>
    </w:p>
    <w:p>
      <w:pPr>
        <w:ind w:firstLine="0" w:firstLineChars="0"/>
        <w:rPr>
          <w:rFonts w:eastAsia="仿宋_GB2312"/>
          <w:color w:val="000000"/>
        </w:rPr>
      </w:pPr>
      <w:r>
        <w:rPr>
          <w:color w:val="000000"/>
        </w:rPr>
        <w:t>附件2  2019年突发环境事件应急预案备案表</w:t>
      </w:r>
    </w:p>
    <w:p>
      <w:pPr>
        <w:ind w:firstLine="0" w:firstLineChars="0"/>
        <w:rPr>
          <w:rFonts w:eastAsia="仿宋_GB2312"/>
          <w:color w:val="000000"/>
        </w:rPr>
      </w:pPr>
      <w:r>
        <w:rPr>
          <w:color w:val="000000"/>
        </w:rPr>
        <w:t>附件3  应急救援互助协议</w:t>
      </w:r>
    </w:p>
    <w:p>
      <w:pPr>
        <w:ind w:firstLine="0" w:firstLineChars="0"/>
        <w:rPr>
          <w:rFonts w:eastAsia="仿宋_GB2312"/>
          <w:color w:val="000000"/>
        </w:rPr>
      </w:pPr>
      <w:r>
        <w:rPr>
          <w:color w:val="000000"/>
        </w:rPr>
        <w:t>附件4  应急监测协议</w:t>
      </w:r>
    </w:p>
    <w:p>
      <w:pPr>
        <w:ind w:firstLine="0" w:firstLineChars="0"/>
        <w:rPr>
          <w:color w:val="000000"/>
        </w:rPr>
      </w:pPr>
      <w:r>
        <w:rPr>
          <w:color w:val="000000"/>
        </w:rPr>
        <w:t xml:space="preserve">附件5  </w:t>
      </w:r>
      <w:r>
        <w:rPr>
          <w:rFonts w:hint="eastAsia"/>
          <w:color w:val="000000"/>
        </w:rPr>
        <w:t>19年、20年、21年</w:t>
      </w:r>
      <w:r>
        <w:rPr>
          <w:color w:val="000000"/>
        </w:rPr>
        <w:t>应急演练培训记录情况</w:t>
      </w:r>
    </w:p>
    <w:p>
      <w:pPr>
        <w:pStyle w:val="2"/>
        <w:rPr>
          <w:rFonts w:hint="eastAsia" w:ascii="Times New Roman" w:hAnsi="Times New Roman" w:eastAsia="仿宋" w:cs="Times New Roman"/>
          <w:kern w:val="2"/>
          <w:sz w:val="28"/>
          <w:szCs w:val="28"/>
        </w:rPr>
      </w:pPr>
      <w:r>
        <w:rPr>
          <w:rFonts w:ascii="Times New Roman" w:hAnsi="Times New Roman" w:eastAsia="仿宋" w:cs="Times New Roman"/>
          <w:kern w:val="2"/>
          <w:sz w:val="28"/>
          <w:szCs w:val="28"/>
        </w:rPr>
        <w:t xml:space="preserve">附件6  </w:t>
      </w:r>
      <w:r>
        <w:rPr>
          <w:rFonts w:hint="eastAsia" w:ascii="Times New Roman" w:hAnsi="Times New Roman" w:eastAsia="仿宋" w:cs="Times New Roman"/>
          <w:kern w:val="2"/>
          <w:sz w:val="28"/>
          <w:szCs w:val="28"/>
        </w:rPr>
        <w:t>2022年本次预案演练记录</w:t>
      </w:r>
    </w:p>
    <w:p>
      <w:pPr>
        <w:pStyle w:val="2"/>
        <w:rPr>
          <w:rFonts w:ascii="Times New Roman" w:hAnsi="Times New Roman" w:eastAsia="仿宋" w:cs="Times New Roman"/>
          <w:kern w:val="2"/>
          <w:sz w:val="28"/>
          <w:szCs w:val="28"/>
        </w:rPr>
      </w:pPr>
      <w:r>
        <w:rPr>
          <w:rFonts w:ascii="Times New Roman" w:hAnsi="Times New Roman" w:eastAsia="仿宋" w:cs="Times New Roman"/>
          <w:kern w:val="2"/>
          <w:sz w:val="28"/>
          <w:szCs w:val="28"/>
        </w:rPr>
        <w:t>附件</w:t>
      </w:r>
      <w:r>
        <w:rPr>
          <w:rFonts w:hint="eastAsia" w:ascii="Times New Roman" w:hAnsi="Times New Roman" w:eastAsia="仿宋" w:cs="Times New Roman"/>
          <w:kern w:val="2"/>
          <w:sz w:val="28"/>
          <w:szCs w:val="28"/>
        </w:rPr>
        <w:t xml:space="preserve">7  </w:t>
      </w:r>
      <w:r>
        <w:rPr>
          <w:rFonts w:ascii="Times New Roman" w:hAnsi="Times New Roman" w:eastAsia="仿宋" w:cs="Times New Roman"/>
          <w:kern w:val="2"/>
          <w:sz w:val="28"/>
          <w:szCs w:val="28"/>
        </w:rPr>
        <w:t>危险废物合同</w:t>
      </w:r>
    </w:p>
    <w:p>
      <w:pPr>
        <w:pStyle w:val="2"/>
        <w:rPr>
          <w:rFonts w:ascii="Times New Roman" w:hAnsi="Times New Roman" w:eastAsia="仿宋" w:cs="Times New Roman"/>
          <w:kern w:val="2"/>
          <w:sz w:val="28"/>
          <w:szCs w:val="28"/>
        </w:rPr>
      </w:pPr>
      <w:r>
        <w:rPr>
          <w:rFonts w:ascii="Times New Roman" w:hAnsi="Times New Roman" w:eastAsia="仿宋" w:cs="Times New Roman"/>
          <w:kern w:val="2"/>
          <w:sz w:val="28"/>
          <w:szCs w:val="28"/>
        </w:rPr>
        <w:t>附件</w:t>
      </w:r>
      <w:r>
        <w:rPr>
          <w:rFonts w:hint="eastAsia" w:ascii="Times New Roman" w:hAnsi="Times New Roman" w:eastAsia="仿宋" w:cs="Times New Roman"/>
          <w:kern w:val="2"/>
          <w:sz w:val="28"/>
          <w:szCs w:val="28"/>
        </w:rPr>
        <w:t>8</w:t>
      </w:r>
      <w:r>
        <w:rPr>
          <w:rFonts w:ascii="Times New Roman" w:hAnsi="Times New Roman" w:eastAsia="仿宋" w:cs="Times New Roman"/>
          <w:kern w:val="2"/>
          <w:sz w:val="28"/>
          <w:szCs w:val="28"/>
        </w:rPr>
        <w:t xml:space="preserve">  公司应急指挥部成员联系方式</w:t>
      </w:r>
    </w:p>
    <w:p>
      <w:pPr>
        <w:pStyle w:val="2"/>
        <w:rPr>
          <w:rFonts w:ascii="Times New Roman" w:hAnsi="Times New Roman" w:eastAsia="仿宋" w:cs="Times New Roman"/>
          <w:kern w:val="2"/>
          <w:sz w:val="28"/>
          <w:szCs w:val="28"/>
        </w:rPr>
      </w:pPr>
      <w:r>
        <w:rPr>
          <w:rFonts w:ascii="Times New Roman" w:hAnsi="Times New Roman" w:eastAsia="仿宋" w:cs="Times New Roman"/>
          <w:kern w:val="2"/>
          <w:sz w:val="28"/>
          <w:szCs w:val="28"/>
        </w:rPr>
        <w:t>附件</w:t>
      </w:r>
      <w:r>
        <w:rPr>
          <w:rFonts w:hint="eastAsia" w:ascii="Times New Roman" w:hAnsi="Times New Roman" w:eastAsia="仿宋" w:cs="Times New Roman"/>
          <w:kern w:val="2"/>
          <w:sz w:val="28"/>
          <w:szCs w:val="28"/>
        </w:rPr>
        <w:t>9</w:t>
      </w:r>
      <w:r>
        <w:rPr>
          <w:rFonts w:ascii="Times New Roman" w:hAnsi="Times New Roman" w:eastAsia="仿宋" w:cs="Times New Roman"/>
          <w:kern w:val="2"/>
          <w:sz w:val="28"/>
          <w:szCs w:val="28"/>
        </w:rPr>
        <w:t xml:space="preserve">  外部救援单位及政府有关部门联系电话</w:t>
      </w:r>
    </w:p>
    <w:p>
      <w:pPr>
        <w:pStyle w:val="2"/>
        <w:rPr>
          <w:rFonts w:ascii="Times New Roman" w:hAnsi="Times New Roman" w:eastAsia="仿宋" w:cs="Times New Roman"/>
          <w:kern w:val="2"/>
          <w:sz w:val="28"/>
          <w:szCs w:val="28"/>
        </w:rPr>
        <w:sectPr>
          <w:pgSz w:w="11906" w:h="16838"/>
          <w:pgMar w:top="1440" w:right="1800" w:bottom="1440" w:left="1800" w:header="851" w:footer="992" w:gutter="0"/>
          <w:cols w:space="720" w:num="1"/>
          <w:docGrid w:type="linesAndChars" w:linePitch="312" w:charSpace="0"/>
        </w:sectPr>
      </w:pPr>
      <w:r>
        <w:rPr>
          <w:rFonts w:ascii="Times New Roman" w:hAnsi="Times New Roman" w:eastAsia="仿宋" w:cs="Times New Roman"/>
          <w:kern w:val="2"/>
          <w:sz w:val="28"/>
          <w:szCs w:val="28"/>
        </w:rPr>
        <w:t>应急处置</w:t>
      </w:r>
      <w:r>
        <w:rPr>
          <w:rFonts w:hint="eastAsia" w:ascii="Times New Roman" w:hAnsi="Times New Roman" w:eastAsia="仿宋" w:cs="Times New Roman"/>
          <w:kern w:val="2"/>
          <w:sz w:val="28"/>
          <w:szCs w:val="28"/>
        </w:rPr>
        <w:t>预案</w:t>
      </w:r>
    </w:p>
    <w:p>
      <w:pPr>
        <w:pStyle w:val="2"/>
        <w:rPr>
          <w:rFonts w:hint="eastAsia" w:ascii="Times New Roman" w:hAnsi="Times New Roman" w:eastAsia="仿宋" w:cs="Times New Roman"/>
          <w:kern w:val="2"/>
          <w:sz w:val="28"/>
          <w:szCs w:val="28"/>
        </w:rPr>
      </w:pPr>
      <w:r>
        <w:drawing>
          <wp:inline distT="0" distB="0" distL="114300" distR="114300">
            <wp:extent cx="8803005" cy="5129530"/>
            <wp:effectExtent l="0" t="0" r="5715" b="635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5"/>
                    <a:stretch>
                      <a:fillRect/>
                    </a:stretch>
                  </pic:blipFill>
                  <pic:spPr>
                    <a:xfrm>
                      <a:off x="0" y="0"/>
                      <a:ext cx="8803005" cy="5129530"/>
                    </a:xfrm>
                    <a:prstGeom prst="rect">
                      <a:avLst/>
                    </a:prstGeom>
                    <a:noFill/>
                    <a:ln>
                      <a:noFill/>
                    </a:ln>
                  </pic:spPr>
                </pic:pic>
              </a:graphicData>
            </a:graphic>
          </wp:inline>
        </w:drawing>
      </w:r>
      <w:r>
        <w:drawing>
          <wp:inline distT="0" distB="0" distL="114300" distR="114300">
            <wp:extent cx="8834120" cy="5140960"/>
            <wp:effectExtent l="0" t="0" r="5080" b="1016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6"/>
                    <a:stretch>
                      <a:fillRect/>
                    </a:stretch>
                  </pic:blipFill>
                  <pic:spPr>
                    <a:xfrm>
                      <a:off x="0" y="0"/>
                      <a:ext cx="8834120" cy="5140960"/>
                    </a:xfrm>
                    <a:prstGeom prst="rect">
                      <a:avLst/>
                    </a:prstGeom>
                    <a:noFill/>
                    <a:ln>
                      <a:noFill/>
                    </a:ln>
                  </pic:spPr>
                </pic:pic>
              </a:graphicData>
            </a:graphic>
          </wp:inline>
        </w:drawing>
      </w:r>
      <w:r>
        <w:drawing>
          <wp:inline distT="0" distB="0" distL="114300" distR="114300">
            <wp:extent cx="8893175" cy="5078095"/>
            <wp:effectExtent l="0" t="0" r="6985" b="1206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7"/>
                    <a:stretch>
                      <a:fillRect/>
                    </a:stretch>
                  </pic:blipFill>
                  <pic:spPr>
                    <a:xfrm>
                      <a:off x="0" y="0"/>
                      <a:ext cx="8893175" cy="5078095"/>
                    </a:xfrm>
                    <a:prstGeom prst="rect">
                      <a:avLst/>
                    </a:prstGeom>
                    <a:noFill/>
                    <a:ln>
                      <a:noFill/>
                    </a:ln>
                  </pic:spPr>
                </pic:pic>
              </a:graphicData>
            </a:graphic>
          </wp:inline>
        </w:drawing>
      </w:r>
      <w:r>
        <w:drawing>
          <wp:inline distT="0" distB="0" distL="114300" distR="114300">
            <wp:extent cx="8810625" cy="4868545"/>
            <wp:effectExtent l="0" t="0" r="13335" b="825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28"/>
                    <a:stretch>
                      <a:fillRect/>
                    </a:stretch>
                  </pic:blipFill>
                  <pic:spPr>
                    <a:xfrm>
                      <a:off x="0" y="0"/>
                      <a:ext cx="8810625" cy="4868545"/>
                    </a:xfrm>
                    <a:prstGeom prst="rect">
                      <a:avLst/>
                    </a:prstGeom>
                    <a:noFill/>
                    <a:ln>
                      <a:noFill/>
                    </a:ln>
                  </pic:spPr>
                </pic:pic>
              </a:graphicData>
            </a:graphic>
          </wp:inline>
        </w:drawing>
      </w:r>
      <w:r>
        <w:drawing>
          <wp:inline distT="0" distB="0" distL="114300" distR="114300">
            <wp:extent cx="8892540" cy="5157470"/>
            <wp:effectExtent l="0" t="0" r="7620" b="889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29"/>
                    <a:stretch>
                      <a:fillRect/>
                    </a:stretch>
                  </pic:blipFill>
                  <pic:spPr>
                    <a:xfrm>
                      <a:off x="0" y="0"/>
                      <a:ext cx="8892540" cy="5157470"/>
                    </a:xfrm>
                    <a:prstGeom prst="rect">
                      <a:avLst/>
                    </a:prstGeom>
                    <a:noFill/>
                    <a:ln>
                      <a:noFill/>
                    </a:ln>
                  </pic:spPr>
                </pic:pic>
              </a:graphicData>
            </a:graphic>
          </wp:inline>
        </w:drawing>
      </w:r>
      <w:r>
        <w:drawing>
          <wp:inline distT="0" distB="0" distL="114300" distR="114300">
            <wp:extent cx="8898890" cy="5132705"/>
            <wp:effectExtent l="0" t="0" r="1270" b="317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30"/>
                    <a:stretch>
                      <a:fillRect/>
                    </a:stretch>
                  </pic:blipFill>
                  <pic:spPr>
                    <a:xfrm>
                      <a:off x="0" y="0"/>
                      <a:ext cx="8898890" cy="5132705"/>
                    </a:xfrm>
                    <a:prstGeom prst="rect">
                      <a:avLst/>
                    </a:prstGeom>
                    <a:noFill/>
                    <a:ln>
                      <a:noFill/>
                    </a:ln>
                  </pic:spPr>
                </pic:pic>
              </a:graphicData>
            </a:graphic>
          </wp:inline>
        </w:drawing>
      </w:r>
      <w:r>
        <w:drawing>
          <wp:inline distT="0" distB="0" distL="114300" distR="114300">
            <wp:extent cx="8839835" cy="5017770"/>
            <wp:effectExtent l="0" t="0" r="14605" b="1143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1"/>
                    <a:stretch>
                      <a:fillRect/>
                    </a:stretch>
                  </pic:blipFill>
                  <pic:spPr>
                    <a:xfrm>
                      <a:off x="0" y="0"/>
                      <a:ext cx="8839835" cy="5017770"/>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方正舒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ind w:firstLine="360"/>
                          </w:pPr>
                          <w:r>
                            <w:fldChar w:fldCharType="begin"/>
                          </w:r>
                          <w:r>
                            <w:instrText xml:space="preserve"> PAGE  \* MERGEFORMAT </w:instrText>
                          </w:r>
                          <w:r>
                            <w:fldChar w:fldCharType="separate"/>
                          </w:r>
                          <w:r>
                            <w:t>IV</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6"/>
                      <w:ind w:firstLine="360"/>
                    </w:pPr>
                    <w:r>
                      <w:fldChar w:fldCharType="begin"/>
                    </w:r>
                    <w:r>
                      <w:instrText xml:space="preserve"> PAGE  \* MERGEFORMAT </w:instrText>
                    </w:r>
                    <w:r>
                      <w:fldChar w:fldCharType="separate"/>
                    </w:r>
                    <w:r>
                      <w:t>IV</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ind w:firstLine="36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6"/>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ind w:firstLine="360"/>
                          </w:pPr>
                          <w:r>
                            <w:fldChar w:fldCharType="begin"/>
                          </w:r>
                          <w:r>
                            <w:instrText xml:space="preserve"> PAGE  \* MERGEFORMAT </w:instrText>
                          </w:r>
                          <w:r>
                            <w:fldChar w:fldCharType="separate"/>
                          </w:r>
                          <w:r>
                            <w:t>70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6"/>
                      <w:ind w:firstLine="36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ind w:firstLine="360"/>
                          </w:pPr>
                          <w:r>
                            <w:fldChar w:fldCharType="begin"/>
                          </w:r>
                          <w:r>
                            <w:instrText xml:space="preserve"> PAGE  \* MERGEFORMAT </w:instrText>
                          </w:r>
                          <w:r>
                            <w:fldChar w:fldCharType="separate"/>
                          </w:r>
                          <w:r>
                            <w:t>70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6"/>
                      <w:ind w:firstLine="36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ind w:firstLine="360"/>
                          </w:pPr>
                          <w:r>
                            <w:fldChar w:fldCharType="begin"/>
                          </w:r>
                          <w:r>
                            <w:instrText xml:space="preserve"> PAGE  \* MERGEFORMAT </w:instrText>
                          </w:r>
                          <w:r>
                            <w:fldChar w:fldCharType="separate"/>
                          </w:r>
                          <w:r>
                            <w:t>70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6"/>
                      <w:ind w:firstLine="36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tabs>
        <w:tab w:val="left" w:pos="4200"/>
        <w:tab w:val="left" w:pos="4278"/>
        <w:tab w:val="clear" w:pos="8306"/>
      </w:tabs>
      <w:spacing w:line="240" w:lineRule="auto"/>
      <w:ind w:firstLine="0" w:firstLineChars="0"/>
      <w:jc w:val="right"/>
      <w:rPr>
        <w:rFonts w:hint="eastAsia"/>
        <w:sz w:val="24"/>
        <w:szCs w:val="24"/>
      </w:rPr>
    </w:pPr>
    <w:r>
      <w:rPr>
        <w:rFonts w:ascii="仿宋" w:hAnsi="仿宋" w:eastAsia="仿宋"/>
        <w:sz w:val="21"/>
        <w:szCs w:val="21"/>
      </w:rPr>
      <w:t>天津海光药业股份有限公司突发环境事件应急预案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spacing w:line="240" w:lineRule="auto"/>
      <w:ind w:firstLine="420"/>
      <w:jc w:val="right"/>
      <w:rPr>
        <w:rFonts w:hint="eastAsia"/>
        <w:lang w:eastAsia="zh-CN"/>
      </w:rPr>
    </w:pPr>
    <w:bookmarkStart w:id="94" w:name="_Hlk108109816"/>
    <w:r>
      <w:rPr>
        <w:rFonts w:hint="eastAsia" w:ascii="仿宋" w:hAnsi="仿宋" w:eastAsia="仿宋"/>
        <w:sz w:val="21"/>
        <w:szCs w:val="21"/>
        <w:lang w:eastAsia="zh-CN"/>
      </w:rPr>
      <w:t>天津海光药业股份有限公司突发环境事件应急预案</w:t>
    </w:r>
    <w:bookmarkEnd w:id="9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spacing w:line="240" w:lineRule="auto"/>
      <w:ind w:firstLine="420"/>
      <w:jc w:val="right"/>
      <w:rPr>
        <w:rFonts w:hint="eastAsia"/>
        <w:lang w:eastAsia="zh-CN"/>
      </w:rPr>
    </w:pPr>
    <w:r>
      <w:rPr>
        <w:rFonts w:hint="eastAsia" w:ascii="仿宋" w:hAnsi="仿宋" w:eastAsia="仿宋"/>
        <w:sz w:val="21"/>
        <w:szCs w:val="21"/>
        <w:lang w:eastAsia="zh-CN"/>
      </w:rPr>
      <w:t>天津海光药业股份有限公司突发环境事件应急预案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spacing w:line="240" w:lineRule="auto"/>
      <w:ind w:firstLine="420"/>
      <w:jc w:val="right"/>
      <w:rPr>
        <w:rFonts w:hint="eastAsia"/>
        <w:lang w:eastAsia="zh-CN"/>
      </w:rPr>
    </w:pPr>
    <w:r>
      <w:rPr>
        <w:rFonts w:hint="eastAsia" w:ascii="仿宋" w:hAnsi="仿宋" w:eastAsia="仿宋"/>
        <w:sz w:val="21"/>
        <w:szCs w:val="21"/>
        <w:lang w:eastAsia="zh-CN"/>
      </w:rPr>
      <w:t>天津海光药业股份有限公司突发环境事件应急预案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mYmQwNjQ1OTE2ODAzMWI5OTEyYjliMzM0YWEwMDAifQ=="/>
  </w:docVars>
  <w:rsids>
    <w:rsidRoot w:val="6C20488A"/>
    <w:rsid w:val="1D9D4AC7"/>
    <w:rsid w:val="26CE2658"/>
    <w:rsid w:val="46F857CD"/>
    <w:rsid w:val="6C20488A"/>
    <w:rsid w:val="78771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ind w:firstLine="0" w:firstLineChars="0"/>
      <w:outlineLvl w:val="0"/>
    </w:pPr>
    <w:rPr>
      <w:b/>
      <w:bCs/>
      <w:kern w:val="44"/>
    </w:rPr>
  </w:style>
  <w:style w:type="paragraph" w:styleId="4">
    <w:name w:val="heading 2"/>
    <w:basedOn w:val="1"/>
    <w:next w:val="1"/>
    <w:qFormat/>
    <w:uiPriority w:val="1"/>
    <w:pPr>
      <w:keepNext/>
      <w:keepLines/>
      <w:ind w:firstLine="0" w:firstLineChars="0"/>
      <w:outlineLvl w:val="1"/>
    </w:pPr>
    <w:rPr>
      <w:b/>
      <w:bCs/>
    </w:rPr>
  </w:style>
  <w:style w:type="paragraph" w:styleId="5">
    <w:name w:val="heading 3"/>
    <w:basedOn w:val="1"/>
    <w:next w:val="1"/>
    <w:qFormat/>
    <w:uiPriority w:val="1"/>
    <w:pPr>
      <w:keepNext/>
      <w:keepLines/>
      <w:ind w:firstLine="0" w:firstLineChars="0"/>
      <w:outlineLvl w:val="2"/>
    </w:pPr>
    <w:rPr>
      <w:b/>
      <w:bCs/>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6">
    <w:name w:val="footer"/>
    <w:basedOn w:val="1"/>
    <w:qFormat/>
    <w:uiPriority w:val="99"/>
    <w:pPr>
      <w:tabs>
        <w:tab w:val="center" w:pos="4153"/>
        <w:tab w:val="right" w:pos="8306"/>
      </w:tabs>
      <w:snapToGrid w:val="0"/>
      <w:jc w:val="left"/>
    </w:pPr>
    <w:rPr>
      <w:rFonts w:eastAsia="宋体"/>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rFonts w:eastAsia="宋体"/>
      <w:sz w:val="18"/>
      <w:szCs w:val="18"/>
    </w:rPr>
  </w:style>
  <w:style w:type="paragraph" w:styleId="8">
    <w:name w:val="toc 1"/>
    <w:basedOn w:val="1"/>
    <w:next w:val="1"/>
    <w:unhideWhenUsed/>
    <w:qFormat/>
    <w:uiPriority w:val="39"/>
    <w:pPr>
      <w:tabs>
        <w:tab w:val="right" w:leader="dot" w:pos="8296"/>
      </w:tabs>
      <w:ind w:firstLine="0" w:firstLineChars="0"/>
      <w:jc w:val="center"/>
    </w:pPr>
    <w:rPr>
      <w:rFonts w:eastAsia="仿宋_GB2312"/>
      <w:b/>
      <w:sz w:val="28"/>
      <w:szCs w:val="22"/>
    </w:rPr>
  </w:style>
  <w:style w:type="paragraph" w:styleId="9">
    <w:name w:val="toc 2"/>
    <w:basedOn w:val="1"/>
    <w:next w:val="1"/>
    <w:unhideWhenUsed/>
    <w:qFormat/>
    <w:uiPriority w:val="39"/>
    <w:pPr>
      <w:tabs>
        <w:tab w:val="right" w:leader="dot" w:pos="8296"/>
      </w:tabs>
      <w:ind w:firstLine="561" w:firstLineChars="0"/>
    </w:pPr>
    <w:rPr>
      <w:rFonts w:eastAsia="仿宋_GB2312"/>
      <w:sz w:val="28"/>
      <w:szCs w:val="22"/>
    </w:rPr>
  </w:style>
  <w:style w:type="paragraph" w:styleId="10">
    <w:name w:val="Body Text First Indent 2"/>
    <w:basedOn w:val="1"/>
    <w:unhideWhenUsed/>
    <w:qFormat/>
    <w:uiPriority w:val="99"/>
    <w:pPr>
      <w:ind w:firstLine="420" w:firstLineChars="200"/>
    </w:pPr>
    <w:rPr>
      <w:szCs w:val="24"/>
    </w:rPr>
  </w:style>
  <w:style w:type="character" w:styleId="13">
    <w:name w:val="Hyperlink"/>
    <w:unhideWhenUsed/>
    <w:qFormat/>
    <w:uiPriority w:val="99"/>
    <w:rPr>
      <w:color w:val="0000FF"/>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29947</Words>
  <Characters>31930</Characters>
  <Lines>0</Lines>
  <Paragraphs>0</Paragraphs>
  <TotalTime>0</TotalTime>
  <ScaleCrop>false</ScaleCrop>
  <LinksUpToDate>false</LinksUpToDate>
  <CharactersWithSpaces>32156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2023-06-14T07:33:00Z</dcterms:created>
  <dc:creator>pc</dc:creator>
  <cp:lastModifiedBy>pc</cp:lastModifiedBy>
  <dcterms:modified xsi:type="dcterms:W3CDTF">2023-06-14T08:00:00Z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3803079B56D441E0BCCF98E2DA3A97F6_11</vt:lpwstr>
  </property>
</Properties>
</file>